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C46" w:rsidRPr="00A9116C" w:rsidRDefault="00625C46" w:rsidP="00625C46">
      <w:pPr>
        <w:pStyle w:val="a5"/>
        <w:rPr>
          <w:b/>
          <w:vanish/>
          <w:sz w:val="22"/>
          <w:szCs w:val="22"/>
          <w:lang w:val="ro-RO"/>
        </w:rPr>
      </w:pPr>
    </w:p>
    <w:tbl>
      <w:tblPr>
        <w:tblW w:w="5505" w:type="pct"/>
        <w:tblInd w:w="277" w:type="dxa"/>
        <w:tblLayout w:type="fixed"/>
        <w:tblCellMar>
          <w:left w:w="0" w:type="dxa"/>
          <w:right w:w="0" w:type="dxa"/>
        </w:tblCellMar>
        <w:tblLook w:val="0000" w:firstRow="0" w:lastRow="0" w:firstColumn="0" w:lastColumn="0" w:noHBand="0" w:noVBand="0"/>
      </w:tblPr>
      <w:tblGrid>
        <w:gridCol w:w="6764"/>
        <w:gridCol w:w="2910"/>
      </w:tblGrid>
      <w:tr w:rsidR="00625C46" w:rsidRPr="00A9116C" w:rsidTr="00912EE4">
        <w:trPr>
          <w:trHeight w:val="2438"/>
        </w:trPr>
        <w:tc>
          <w:tcPr>
            <w:tcW w:w="7094" w:type="dxa"/>
          </w:tcPr>
          <w:p w:rsidR="00625C46" w:rsidRPr="00A9116C" w:rsidRDefault="00625C46" w:rsidP="00912EE4">
            <w:pPr>
              <w:tabs>
                <w:tab w:val="left" w:pos="4253"/>
              </w:tabs>
              <w:spacing w:before="0" w:after="0" w:line="240" w:lineRule="auto"/>
              <w:rPr>
                <w:szCs w:val="22"/>
                <w:lang w:val="ro-RO" w:eastAsia="de-DE"/>
              </w:rPr>
            </w:pPr>
            <w:r w:rsidRPr="00A9116C">
              <w:rPr>
                <w:szCs w:val="22"/>
                <w:lang w:val="ro-RO" w:eastAsia="de-DE"/>
              </w:rPr>
              <w:t xml:space="preserve">Agenția de Dezvoltare Regională Centru  </w:t>
            </w:r>
          </w:p>
          <w:p w:rsidR="00625C46" w:rsidRPr="00A9116C" w:rsidRDefault="00625C46" w:rsidP="00912EE4">
            <w:pPr>
              <w:tabs>
                <w:tab w:val="left" w:pos="4253"/>
              </w:tabs>
              <w:spacing w:before="0" w:after="0" w:line="240" w:lineRule="auto"/>
              <w:rPr>
                <w:szCs w:val="22"/>
                <w:lang w:val="ro-RO" w:eastAsia="de-DE"/>
              </w:rPr>
            </w:pPr>
            <w:r w:rsidRPr="00A9116C">
              <w:rPr>
                <w:szCs w:val="22"/>
                <w:lang w:val="ro-RO" w:eastAsia="de-DE"/>
              </w:rPr>
              <w:t>str. Alexandru Cel Bun nr.33</w:t>
            </w:r>
          </w:p>
          <w:p w:rsidR="00625C46" w:rsidRPr="00A9116C" w:rsidRDefault="00625C46" w:rsidP="00912EE4">
            <w:pPr>
              <w:tabs>
                <w:tab w:val="left" w:pos="4253"/>
              </w:tabs>
              <w:spacing w:before="0" w:after="0" w:line="240" w:lineRule="auto"/>
              <w:rPr>
                <w:szCs w:val="22"/>
                <w:lang w:val="ro-RO" w:eastAsia="de-DE"/>
              </w:rPr>
            </w:pPr>
            <w:r w:rsidRPr="00A9116C">
              <w:rPr>
                <w:szCs w:val="22"/>
                <w:lang w:val="ro-RO" w:eastAsia="de-DE"/>
              </w:rPr>
              <w:t xml:space="preserve">6801 or. Ialoveni </w:t>
            </w:r>
          </w:p>
          <w:p w:rsidR="00625C46" w:rsidRPr="00A9116C" w:rsidRDefault="00625C46" w:rsidP="00912EE4">
            <w:pPr>
              <w:tabs>
                <w:tab w:val="left" w:pos="4253"/>
              </w:tabs>
              <w:spacing w:before="0" w:after="0" w:line="240" w:lineRule="auto"/>
              <w:rPr>
                <w:szCs w:val="22"/>
                <w:lang w:val="ro-RO" w:eastAsia="de-DE"/>
              </w:rPr>
            </w:pPr>
            <w:r w:rsidRPr="00A9116C">
              <w:rPr>
                <w:szCs w:val="22"/>
                <w:lang w:val="ro-RO" w:eastAsia="de-DE"/>
              </w:rPr>
              <w:t>Republica Moldova</w:t>
            </w:r>
          </w:p>
          <w:p w:rsidR="00625C46" w:rsidRPr="00A9116C" w:rsidRDefault="00625C46" w:rsidP="00912EE4">
            <w:pPr>
              <w:tabs>
                <w:tab w:val="left" w:pos="4253"/>
              </w:tabs>
              <w:spacing w:before="0" w:after="0" w:line="240" w:lineRule="auto"/>
              <w:rPr>
                <w:szCs w:val="22"/>
                <w:lang w:val="ro-RO" w:eastAsia="de-DE"/>
              </w:rPr>
            </w:pPr>
          </w:p>
          <w:p w:rsidR="00625C46" w:rsidRPr="00A9116C" w:rsidRDefault="00625C46" w:rsidP="00912EE4">
            <w:pPr>
              <w:tabs>
                <w:tab w:val="left" w:pos="4253"/>
              </w:tabs>
              <w:spacing w:before="0" w:after="0" w:line="240" w:lineRule="auto"/>
              <w:rPr>
                <w:szCs w:val="22"/>
                <w:lang w:val="ro-RO" w:eastAsia="de-DE"/>
              </w:rPr>
            </w:pPr>
          </w:p>
          <w:p w:rsidR="00625C46" w:rsidRPr="00A9116C" w:rsidRDefault="00625C46" w:rsidP="00912EE4">
            <w:pPr>
              <w:tabs>
                <w:tab w:val="left" w:pos="4253"/>
              </w:tabs>
              <w:spacing w:before="0" w:after="0" w:line="240" w:lineRule="auto"/>
              <w:rPr>
                <w:szCs w:val="22"/>
                <w:lang w:val="ro-RO" w:eastAsia="de-DE"/>
              </w:rPr>
            </w:pPr>
          </w:p>
          <w:p w:rsidR="00625C46" w:rsidRPr="00A9116C" w:rsidRDefault="00625C46" w:rsidP="00912EE4">
            <w:pPr>
              <w:pStyle w:val="CentroSans811"/>
              <w:ind w:right="2112"/>
              <w:rPr>
                <w:rFonts w:ascii="Arial" w:hAnsi="Arial" w:cs="Arial"/>
                <w:sz w:val="20"/>
                <w:szCs w:val="20"/>
                <w:lang w:val="ro-RO"/>
              </w:rPr>
            </w:pPr>
          </w:p>
          <w:p w:rsidR="00625C46" w:rsidRPr="00A9116C" w:rsidRDefault="00625C46" w:rsidP="00912EE4">
            <w:pPr>
              <w:pStyle w:val="CentroSans811"/>
              <w:ind w:right="2112"/>
              <w:rPr>
                <w:rFonts w:ascii="Arial" w:hAnsi="Arial" w:cs="Arial"/>
                <w:sz w:val="20"/>
                <w:szCs w:val="20"/>
                <w:lang w:val="ro-RO"/>
              </w:rPr>
            </w:pPr>
          </w:p>
          <w:p w:rsidR="00625C46" w:rsidRPr="00A9116C" w:rsidRDefault="00625C46" w:rsidP="00912EE4">
            <w:pPr>
              <w:pStyle w:val="CentroSans811"/>
              <w:ind w:right="2112"/>
              <w:rPr>
                <w:rFonts w:ascii="Arial" w:hAnsi="Arial" w:cs="Arial"/>
                <w:sz w:val="20"/>
                <w:szCs w:val="20"/>
                <w:lang w:val="ro-RO"/>
              </w:rPr>
            </w:pPr>
          </w:p>
          <w:p w:rsidR="00625C46" w:rsidRPr="00A9116C" w:rsidRDefault="00625C46" w:rsidP="00912EE4">
            <w:pPr>
              <w:pStyle w:val="CentroSans811"/>
              <w:ind w:right="2112"/>
              <w:rPr>
                <w:rFonts w:ascii="Arial" w:hAnsi="Arial"/>
                <w:sz w:val="20"/>
                <w:lang w:val="ro-RO"/>
              </w:rPr>
            </w:pPr>
          </w:p>
        </w:tc>
        <w:tc>
          <w:tcPr>
            <w:tcW w:w="3051" w:type="dxa"/>
          </w:tcPr>
          <w:p w:rsidR="00625C46" w:rsidRPr="00A9116C" w:rsidRDefault="00625C46" w:rsidP="00912EE4">
            <w:pPr>
              <w:pStyle w:val="CentroSans811"/>
              <w:rPr>
                <w:rFonts w:ascii="Arial" w:hAnsi="Arial" w:cs="Arial"/>
                <w:szCs w:val="16"/>
                <w:lang w:val="ro-RO"/>
              </w:rPr>
            </w:pPr>
            <w:r w:rsidRPr="00A9116C">
              <w:rPr>
                <w:rFonts w:ascii="Arial" w:hAnsi="Arial"/>
                <w:lang w:val="ro-RO"/>
              </w:rPr>
              <w:br/>
            </w:r>
            <w:r w:rsidRPr="00A9116C">
              <w:rPr>
                <w:rFonts w:ascii="Arial" w:hAnsi="Arial"/>
                <w:lang w:val="ro-RO"/>
              </w:rPr>
              <w:br/>
            </w:r>
            <w:r w:rsidRPr="00A9116C">
              <w:rPr>
                <w:rFonts w:ascii="Arial" w:hAnsi="Arial"/>
                <w:lang w:val="ro-RO"/>
              </w:rPr>
              <w:br/>
            </w:r>
            <w:r w:rsidRPr="00A9116C">
              <w:rPr>
                <w:rFonts w:ascii="Arial" w:hAnsi="Arial" w:cs="Arial"/>
                <w:szCs w:val="16"/>
                <w:lang w:val="ro-RO"/>
              </w:rPr>
              <w:t xml:space="preserve">Banca de dezvoltare KfW </w:t>
            </w:r>
          </w:p>
          <w:p w:rsidR="00625C46" w:rsidRPr="00A9116C" w:rsidRDefault="00625C46" w:rsidP="00912EE4">
            <w:pPr>
              <w:pStyle w:val="CentroSans811"/>
              <w:rPr>
                <w:rFonts w:ascii="Arial" w:hAnsi="Arial" w:cs="Arial"/>
                <w:szCs w:val="16"/>
                <w:lang w:val="ro-RO"/>
              </w:rPr>
            </w:pPr>
          </w:p>
          <w:p w:rsidR="00625C46" w:rsidRPr="00A9116C" w:rsidRDefault="00625C46" w:rsidP="00912EE4">
            <w:pPr>
              <w:pStyle w:val="CentroSans811"/>
              <w:rPr>
                <w:rFonts w:ascii="Arial" w:hAnsi="Arial" w:cs="Arial"/>
                <w:szCs w:val="16"/>
                <w:lang w:val="ro-RO"/>
              </w:rPr>
            </w:pPr>
            <w:bookmarkStart w:id="0" w:name="Bearbeiter"/>
            <w:bookmarkEnd w:id="0"/>
            <w:r w:rsidRPr="00A9116C">
              <w:rPr>
                <w:rFonts w:ascii="Arial" w:hAnsi="Arial" w:cs="Arial"/>
                <w:szCs w:val="16"/>
                <w:lang w:val="ro-RO"/>
              </w:rPr>
              <w:t xml:space="preserve">Marie-Christin Scholl-Jank </w:t>
            </w:r>
            <w:r w:rsidRPr="00A9116C">
              <w:rPr>
                <w:rFonts w:ascii="Arial" w:hAnsi="Arial" w:cs="Arial"/>
                <w:szCs w:val="16"/>
                <w:lang w:val="ro-RO"/>
              </w:rPr>
              <w:br/>
              <w:t xml:space="preserve">Către.: </w:t>
            </w:r>
            <w:bookmarkStart w:id="1" w:name="Zeichen"/>
            <w:bookmarkEnd w:id="1"/>
            <w:r w:rsidRPr="00A9116C">
              <w:rPr>
                <w:rFonts w:ascii="Arial" w:hAnsi="Arial" w:cs="Arial"/>
                <w:szCs w:val="16"/>
                <w:lang w:val="ro-RO"/>
              </w:rPr>
              <w:t>SmC</w:t>
            </w:r>
            <w:r w:rsidRPr="00A9116C">
              <w:rPr>
                <w:rFonts w:ascii="Arial" w:hAnsi="Arial" w:cs="Arial"/>
                <w:szCs w:val="16"/>
                <w:lang w:val="ro-RO"/>
              </w:rPr>
              <w:br/>
              <w:t xml:space="preserve">Tel.::+49 </w:t>
            </w:r>
            <w:bookmarkStart w:id="2" w:name="Vorwahl"/>
            <w:r w:rsidRPr="00A9116C">
              <w:rPr>
                <w:rFonts w:ascii="Arial" w:hAnsi="Arial" w:cs="Arial"/>
                <w:szCs w:val="16"/>
                <w:lang w:val="ro-RO"/>
              </w:rPr>
              <w:t>69 7431</w:t>
            </w:r>
            <w:bookmarkEnd w:id="2"/>
            <w:r w:rsidRPr="00A9116C">
              <w:rPr>
                <w:rFonts w:ascii="Arial" w:hAnsi="Arial" w:cs="Arial"/>
                <w:szCs w:val="16"/>
                <w:lang w:val="ro-RO"/>
              </w:rPr>
              <w:t>-</w:t>
            </w:r>
            <w:bookmarkStart w:id="3" w:name="Durchwahl"/>
            <w:bookmarkEnd w:id="3"/>
            <w:r w:rsidRPr="00A9116C">
              <w:rPr>
                <w:rFonts w:ascii="Arial" w:hAnsi="Arial" w:cs="Arial"/>
                <w:szCs w:val="16"/>
                <w:lang w:val="ro-RO"/>
              </w:rPr>
              <w:t xml:space="preserve">4734 </w:t>
            </w:r>
            <w:r w:rsidRPr="00A9116C">
              <w:rPr>
                <w:rFonts w:ascii="Arial" w:hAnsi="Arial" w:cs="Arial"/>
                <w:szCs w:val="16"/>
                <w:lang w:val="ro-RO"/>
              </w:rPr>
              <w:br/>
              <w:t xml:space="preserve">Fax:+49 </w:t>
            </w:r>
            <w:bookmarkStart w:id="4" w:name="Vorwahl2"/>
            <w:r w:rsidRPr="00A9116C">
              <w:rPr>
                <w:rFonts w:ascii="Arial" w:hAnsi="Arial" w:cs="Arial"/>
                <w:szCs w:val="16"/>
                <w:lang w:val="ro-RO"/>
              </w:rPr>
              <w:t>69 7431</w:t>
            </w:r>
            <w:bookmarkEnd w:id="4"/>
            <w:r w:rsidRPr="00A9116C">
              <w:rPr>
                <w:rFonts w:ascii="Arial" w:hAnsi="Arial" w:cs="Arial"/>
                <w:szCs w:val="16"/>
                <w:lang w:val="ro-RO"/>
              </w:rPr>
              <w:t>-</w:t>
            </w:r>
            <w:bookmarkStart w:id="5" w:name="Fax"/>
            <w:bookmarkEnd w:id="5"/>
            <w:r w:rsidRPr="00A9116C">
              <w:rPr>
                <w:rFonts w:ascii="Arial" w:hAnsi="Arial" w:cs="Arial"/>
                <w:szCs w:val="16"/>
                <w:lang w:val="ro-RO"/>
              </w:rPr>
              <w:t xml:space="preserve"> 2547@ </w:t>
            </w:r>
            <w:r w:rsidRPr="00A9116C">
              <w:rPr>
                <w:rFonts w:ascii="Arial" w:hAnsi="Arial" w:cs="Arial"/>
                <w:szCs w:val="16"/>
                <w:lang w:val="ro-RO"/>
              </w:rPr>
              <w:br/>
              <w:t xml:space="preserve">Marie-Christin Scholl-Jank </w:t>
            </w:r>
            <w:r w:rsidRPr="00A9116C">
              <w:rPr>
                <w:rFonts w:ascii="Arial" w:hAnsi="Arial" w:cs="Arial"/>
                <w:szCs w:val="16"/>
                <w:lang w:val="ro-RO"/>
              </w:rPr>
              <w:br/>
            </w:r>
          </w:p>
          <w:p w:rsidR="00625C46" w:rsidRPr="00A9116C" w:rsidRDefault="00625C46" w:rsidP="00912EE4">
            <w:pPr>
              <w:pStyle w:val="CentroSans811"/>
              <w:rPr>
                <w:rFonts w:ascii="Arial" w:hAnsi="Arial" w:cs="Arial"/>
                <w:szCs w:val="16"/>
                <w:lang w:val="ro-RO"/>
              </w:rPr>
            </w:pPr>
            <w:r w:rsidRPr="00A9116C">
              <w:rPr>
                <w:rFonts w:ascii="Arial" w:hAnsi="Arial" w:cs="Arial"/>
                <w:szCs w:val="16"/>
                <w:lang w:val="ro-RO"/>
              </w:rPr>
              <w:t>Data:</w:t>
            </w:r>
          </w:p>
          <w:p w:rsidR="00625C46" w:rsidRPr="00A9116C" w:rsidRDefault="00625C46" w:rsidP="00912EE4">
            <w:pPr>
              <w:pStyle w:val="CentroSans811"/>
              <w:rPr>
                <w:rFonts w:ascii="Arial" w:hAnsi="Arial" w:cs="Arial"/>
                <w:sz w:val="20"/>
                <w:szCs w:val="20"/>
                <w:lang w:val="ro-RO"/>
              </w:rPr>
            </w:pPr>
          </w:p>
        </w:tc>
      </w:tr>
    </w:tbl>
    <w:p w:rsidR="00625C46" w:rsidRPr="00A9116C" w:rsidRDefault="00625C46" w:rsidP="00625C46">
      <w:pPr>
        <w:pStyle w:val="CentroSans811"/>
        <w:spacing w:line="280" w:lineRule="exact"/>
        <w:ind w:left="227"/>
        <w:rPr>
          <w:rFonts w:ascii="Arial" w:hAnsi="Arial" w:cs="Arial"/>
          <w:sz w:val="20"/>
          <w:szCs w:val="20"/>
          <w:lang w:val="ro-RO"/>
        </w:rPr>
      </w:pPr>
    </w:p>
    <w:p w:rsidR="00625C46" w:rsidRPr="00A9116C" w:rsidRDefault="00625C46" w:rsidP="00625C46">
      <w:pPr>
        <w:pStyle w:val="CentroSans811"/>
        <w:spacing w:line="280" w:lineRule="exact"/>
        <w:ind w:left="227"/>
        <w:rPr>
          <w:rFonts w:ascii="Arial" w:hAnsi="Arial" w:cs="Arial"/>
          <w:sz w:val="20"/>
          <w:szCs w:val="20"/>
          <w:lang w:val="ro-RO"/>
        </w:rPr>
      </w:pPr>
    </w:p>
    <w:p w:rsidR="00625C46" w:rsidRPr="00A9116C" w:rsidRDefault="00625C46" w:rsidP="00625C46">
      <w:pPr>
        <w:pStyle w:val="CentroSans811"/>
        <w:spacing w:line="280" w:lineRule="exact"/>
        <w:ind w:left="227"/>
        <w:rPr>
          <w:rFonts w:ascii="Arial" w:hAnsi="Arial" w:cs="Arial"/>
          <w:b/>
          <w:sz w:val="22"/>
          <w:szCs w:val="22"/>
          <w:lang w:val="ro-RO"/>
        </w:rPr>
      </w:pPr>
      <w:bookmarkStart w:id="6" w:name="Betreff"/>
      <w:bookmarkEnd w:id="6"/>
      <w:r w:rsidRPr="00A9116C">
        <w:rPr>
          <w:rFonts w:ascii="Arial" w:hAnsi="Arial" w:cs="Arial"/>
          <w:b/>
          <w:sz w:val="22"/>
          <w:szCs w:val="22"/>
          <w:lang w:val="ro-RO"/>
        </w:rPr>
        <w:t>Cooperarea Financiară Germană cu Republica Moldova</w:t>
      </w:r>
    </w:p>
    <w:p w:rsidR="00625C46" w:rsidRPr="00A9116C" w:rsidRDefault="00625C46" w:rsidP="00625C46">
      <w:pPr>
        <w:pStyle w:val="CentroSans811"/>
        <w:spacing w:line="280" w:lineRule="exact"/>
        <w:ind w:left="227"/>
        <w:rPr>
          <w:rFonts w:ascii="Arial" w:hAnsi="Arial" w:cs="Arial"/>
          <w:b/>
          <w:sz w:val="22"/>
          <w:szCs w:val="22"/>
          <w:lang w:val="ro-RO"/>
        </w:rPr>
      </w:pPr>
      <w:r w:rsidRPr="00A9116C">
        <w:rPr>
          <w:rFonts w:ascii="Arial" w:hAnsi="Arial" w:cs="Arial"/>
          <w:b/>
          <w:sz w:val="22"/>
          <w:szCs w:val="22"/>
          <w:lang w:val="ro-RO"/>
        </w:rPr>
        <w:t>Alimentarea cu apă și canalizarea în centrul Moldovei 15 milioane EUR</w:t>
      </w:r>
    </w:p>
    <w:p w:rsidR="00625C46" w:rsidRPr="00A9116C" w:rsidRDefault="00625C46" w:rsidP="00625C46">
      <w:pPr>
        <w:pStyle w:val="CentroSans811"/>
        <w:spacing w:line="280" w:lineRule="exact"/>
        <w:ind w:left="227"/>
        <w:rPr>
          <w:rFonts w:ascii="Arial" w:hAnsi="Arial" w:cs="Arial"/>
          <w:b/>
          <w:sz w:val="22"/>
          <w:szCs w:val="22"/>
          <w:lang w:val="ro-RO"/>
        </w:rPr>
      </w:pPr>
      <w:r w:rsidRPr="00A9116C">
        <w:rPr>
          <w:rFonts w:ascii="Arial" w:hAnsi="Arial" w:cs="Arial"/>
          <w:b/>
          <w:sz w:val="22"/>
          <w:szCs w:val="22"/>
          <w:lang w:val="ro-RO"/>
        </w:rPr>
        <w:t>Nr.: 2013 66 897</w:t>
      </w:r>
    </w:p>
    <w:p w:rsidR="00625C46" w:rsidRPr="00A9116C" w:rsidRDefault="00625C46" w:rsidP="00625C46">
      <w:pPr>
        <w:pStyle w:val="CentroSans811"/>
        <w:spacing w:line="280" w:lineRule="exact"/>
        <w:ind w:left="227"/>
        <w:rPr>
          <w:rFonts w:ascii="Arial" w:hAnsi="Arial" w:cs="Arial"/>
          <w:b/>
          <w:sz w:val="22"/>
          <w:szCs w:val="22"/>
          <w:lang w:val="ro-RO"/>
        </w:rPr>
      </w:pPr>
      <w:r w:rsidRPr="00A9116C">
        <w:rPr>
          <w:rFonts w:ascii="Arial" w:hAnsi="Arial" w:cs="Arial"/>
          <w:b/>
          <w:sz w:val="22"/>
          <w:szCs w:val="22"/>
          <w:lang w:val="ro-RO"/>
        </w:rPr>
        <w:t>Acord Separat la Contractul de Finanțare și Proiect din data de 27 mai 2019</w:t>
      </w:r>
    </w:p>
    <w:p w:rsidR="00625C46" w:rsidRPr="00A9116C" w:rsidRDefault="00625C46" w:rsidP="00625C46">
      <w:pPr>
        <w:pStyle w:val="CentroSans811"/>
        <w:spacing w:line="280" w:lineRule="exact"/>
        <w:ind w:left="227"/>
        <w:rPr>
          <w:rFonts w:ascii="Arial" w:hAnsi="Arial" w:cs="Arial"/>
          <w:sz w:val="22"/>
          <w:szCs w:val="22"/>
          <w:lang w:val="ro-RO"/>
        </w:rPr>
      </w:pPr>
    </w:p>
    <w:p w:rsidR="00625C46" w:rsidRPr="00A9116C" w:rsidRDefault="00625C46" w:rsidP="00625C46">
      <w:pPr>
        <w:pStyle w:val="CentroSans811"/>
        <w:spacing w:line="280" w:lineRule="exact"/>
        <w:ind w:left="227"/>
        <w:rPr>
          <w:rFonts w:ascii="Arial" w:hAnsi="Arial" w:cs="Arial"/>
          <w:sz w:val="22"/>
          <w:szCs w:val="22"/>
          <w:lang w:val="ro-RO"/>
        </w:rPr>
      </w:pPr>
      <w:bookmarkStart w:id="7" w:name="Anrede"/>
      <w:bookmarkEnd w:id="7"/>
      <w:r w:rsidRPr="00A9116C">
        <w:rPr>
          <w:rFonts w:ascii="Arial" w:hAnsi="Arial" w:cs="Arial"/>
          <w:sz w:val="22"/>
          <w:szCs w:val="22"/>
          <w:lang w:val="ro-RO"/>
        </w:rPr>
        <w:t>Stimate Domn sau Doamnă,</w:t>
      </w:r>
    </w:p>
    <w:p w:rsidR="00625C46" w:rsidRPr="00A9116C" w:rsidRDefault="00625C46" w:rsidP="00625C46">
      <w:pPr>
        <w:pStyle w:val="CentroSans811"/>
        <w:spacing w:line="280" w:lineRule="exact"/>
        <w:ind w:left="227"/>
        <w:rPr>
          <w:rFonts w:ascii="Arial" w:hAnsi="Arial" w:cs="Arial"/>
          <w:sz w:val="22"/>
          <w:szCs w:val="22"/>
          <w:lang w:val="ro-RO"/>
        </w:rPr>
      </w:pPr>
    </w:p>
    <w:p w:rsidR="00625C46" w:rsidRPr="00A9116C" w:rsidRDefault="00625C46" w:rsidP="00625C46">
      <w:pPr>
        <w:pStyle w:val="TextfrKfW"/>
        <w:spacing w:after="120" w:line="320" w:lineRule="atLeast"/>
        <w:ind w:left="227"/>
        <w:rPr>
          <w:noProof/>
          <w:lang w:val="ro-RO"/>
        </w:rPr>
      </w:pPr>
      <w:bookmarkStart w:id="8" w:name="_Hlt106071816"/>
      <w:bookmarkStart w:id="9" w:name="_Hlt106071812"/>
      <w:r w:rsidRPr="00A9116C">
        <w:rPr>
          <w:rStyle w:val="tlid-translation"/>
          <w:lang w:val="ro-RO"/>
        </w:rPr>
        <w:t>În conformitate cu Contractul de Finanțare și Proiect încheiat între Republica Moldova reprezentată prin Ministerul Finanțelor („Beneficiar”) și Agenția de Dezvoltare Regională Centru (”Agenția de Executare a Proiectului”) și KfW („KfW”) din 27 mai 2019 următoarele aspecte sunt stabilite prin Acord Separat:</w:t>
      </w:r>
    </w:p>
    <w:bookmarkEnd w:id="8"/>
    <w:bookmarkEnd w:id="9"/>
    <w:p w:rsidR="00625C46" w:rsidRPr="00A9116C" w:rsidRDefault="00625C46" w:rsidP="00625C46">
      <w:pPr>
        <w:widowControl w:val="0"/>
        <w:tabs>
          <w:tab w:val="left" w:pos="570"/>
          <w:tab w:val="left" w:pos="1290"/>
          <w:tab w:val="left" w:pos="5760"/>
          <w:tab w:val="right" w:pos="9356"/>
        </w:tabs>
        <w:spacing w:after="120" w:line="320" w:lineRule="atLeast"/>
        <w:ind w:left="567"/>
        <w:rPr>
          <w:rFonts w:cs="Arial"/>
          <w:b/>
          <w:szCs w:val="22"/>
          <w:lang w:val="ro-RO"/>
        </w:rPr>
      </w:pPr>
      <w:r w:rsidRPr="00A9116C">
        <w:rPr>
          <w:rFonts w:cs="Arial"/>
          <w:b/>
          <w:szCs w:val="22"/>
          <w:lang w:val="ro-RO"/>
        </w:rPr>
        <w:t>Conform articolului 1.2:</w:t>
      </w:r>
    </w:p>
    <w:p w:rsidR="00625C46" w:rsidRPr="00A9116C" w:rsidRDefault="00625C46" w:rsidP="00625C46">
      <w:pPr>
        <w:widowControl w:val="0"/>
        <w:tabs>
          <w:tab w:val="left" w:pos="570"/>
          <w:tab w:val="left" w:pos="1290"/>
          <w:tab w:val="left" w:pos="5760"/>
          <w:tab w:val="right" w:pos="9356"/>
        </w:tabs>
        <w:spacing w:after="120" w:line="320" w:lineRule="atLeast"/>
        <w:ind w:left="567"/>
        <w:rPr>
          <w:rFonts w:cs="Arial"/>
          <w:szCs w:val="22"/>
          <w:lang w:val="ro-RO"/>
        </w:rPr>
      </w:pPr>
      <w:r w:rsidRPr="00A9116C">
        <w:rPr>
          <w:rFonts w:cs="Arial"/>
          <w:szCs w:val="22"/>
          <w:lang w:val="ro-RO"/>
        </w:rPr>
        <w:t>detaliile Proiectului, precum și serviciile, lucrările, instalațiile și bunurile care urmează a fi finanțate din contul Grantului;</w:t>
      </w:r>
    </w:p>
    <w:p w:rsidR="00625C46" w:rsidRPr="00A9116C" w:rsidRDefault="00625C46" w:rsidP="00625C46">
      <w:pPr>
        <w:widowControl w:val="0"/>
        <w:tabs>
          <w:tab w:val="left" w:pos="570"/>
          <w:tab w:val="left" w:pos="1290"/>
          <w:tab w:val="left" w:pos="5760"/>
          <w:tab w:val="right" w:pos="9356"/>
        </w:tabs>
        <w:spacing w:after="120" w:line="320" w:lineRule="atLeast"/>
        <w:ind w:left="567"/>
        <w:rPr>
          <w:rFonts w:cs="Arial"/>
          <w:b/>
          <w:szCs w:val="22"/>
          <w:lang w:val="ro-RO"/>
        </w:rPr>
      </w:pPr>
      <w:r w:rsidRPr="00A9116C">
        <w:rPr>
          <w:rFonts w:cs="Arial"/>
          <w:b/>
          <w:szCs w:val="22"/>
          <w:lang w:val="ro-RO"/>
        </w:rPr>
        <w:t>Conform articolului 2.1:</w:t>
      </w:r>
    </w:p>
    <w:p w:rsidR="00625C46" w:rsidRPr="00A9116C" w:rsidRDefault="00625C46" w:rsidP="00625C46">
      <w:pPr>
        <w:widowControl w:val="0"/>
        <w:tabs>
          <w:tab w:val="left" w:pos="570"/>
          <w:tab w:val="left" w:pos="1290"/>
          <w:tab w:val="left" w:pos="5760"/>
          <w:tab w:val="right" w:pos="9356"/>
        </w:tabs>
        <w:spacing w:after="120" w:line="320" w:lineRule="atLeast"/>
        <w:ind w:left="567"/>
        <w:rPr>
          <w:rFonts w:cs="Arial"/>
          <w:szCs w:val="22"/>
          <w:lang w:val="ro-RO"/>
        </w:rPr>
      </w:pPr>
      <w:r w:rsidRPr="00A9116C">
        <w:rPr>
          <w:rFonts w:cs="Arial"/>
          <w:szCs w:val="22"/>
          <w:lang w:val="ro-RO"/>
        </w:rPr>
        <w:t>procedura de debursare, în special documente</w:t>
      </w:r>
      <w:r w:rsidR="001D4429" w:rsidRPr="00A9116C">
        <w:rPr>
          <w:rFonts w:cs="Arial"/>
          <w:szCs w:val="22"/>
          <w:lang w:val="ro-RO"/>
        </w:rPr>
        <w:t>le</w:t>
      </w:r>
      <w:r w:rsidRPr="00A9116C">
        <w:rPr>
          <w:rFonts w:cs="Arial"/>
          <w:szCs w:val="22"/>
          <w:lang w:val="ro-RO"/>
        </w:rPr>
        <w:t xml:space="preserve"> justificative, care confirmă utilizarea Grantului conform destinației;</w:t>
      </w:r>
    </w:p>
    <w:p w:rsidR="00625C46" w:rsidRPr="00A9116C" w:rsidRDefault="00625C46" w:rsidP="00625C46">
      <w:pPr>
        <w:widowControl w:val="0"/>
        <w:tabs>
          <w:tab w:val="left" w:pos="570"/>
          <w:tab w:val="left" w:pos="1290"/>
          <w:tab w:val="left" w:pos="5760"/>
          <w:tab w:val="right" w:pos="9356"/>
        </w:tabs>
        <w:spacing w:after="120" w:line="320" w:lineRule="atLeast"/>
        <w:ind w:left="567"/>
        <w:rPr>
          <w:vanish/>
          <w:lang w:val="ro-RO"/>
        </w:rPr>
      </w:pPr>
      <w:r w:rsidRPr="00A9116C">
        <w:rPr>
          <w:b/>
          <w:lang w:val="ro-RO"/>
        </w:rPr>
        <w:t>Conform articolului </w:t>
      </w:r>
      <w:r w:rsidRPr="00A9116C">
        <w:rPr>
          <w:rFonts w:cs="Arial"/>
          <w:b/>
          <w:szCs w:val="22"/>
          <w:lang w:val="ro-RO"/>
        </w:rPr>
        <w:t>7</w:t>
      </w:r>
      <w:r w:rsidRPr="00A9116C">
        <w:rPr>
          <w:b/>
          <w:lang w:val="ro-RO"/>
        </w:rPr>
        <w:t xml:space="preserve">.2 </w:t>
      </w:r>
      <w:r w:rsidRPr="00A9116C">
        <w:rPr>
          <w:lang w:val="ro-RO"/>
        </w:rPr>
        <w:t>detaliile referitoare l</w:t>
      </w:r>
      <w:r w:rsidR="001D4429" w:rsidRPr="00A9116C">
        <w:rPr>
          <w:lang w:val="ro-RO"/>
        </w:rPr>
        <w:t>a articolul 7.1 (Implementarea P</w:t>
      </w:r>
      <w:r w:rsidRPr="00A9116C">
        <w:rPr>
          <w:lang w:val="ro-RO"/>
        </w:rPr>
        <w:t>roiectului).</w:t>
      </w:r>
    </w:p>
    <w:p w:rsidR="00625C46" w:rsidRPr="00A9116C" w:rsidRDefault="00625C46" w:rsidP="00625C46">
      <w:pPr>
        <w:spacing w:before="0" w:after="0" w:line="240" w:lineRule="auto"/>
        <w:jc w:val="left"/>
        <w:rPr>
          <w:lang w:val="ro-RO"/>
        </w:rPr>
      </w:pPr>
    </w:p>
    <w:p w:rsidR="00625C46" w:rsidRPr="00A9116C" w:rsidRDefault="00625C46" w:rsidP="00625C46">
      <w:pPr>
        <w:pStyle w:val="StandardVerborgen"/>
        <w:rPr>
          <w:rFonts w:ascii="Arial" w:hAnsi="Arial" w:cs="Arial"/>
          <w:b w:val="0"/>
          <w:vanish w:val="0"/>
          <w:szCs w:val="22"/>
          <w:u w:val="none"/>
          <w:lang w:val="ro-RO"/>
        </w:rPr>
      </w:pPr>
      <w:r w:rsidRPr="00A9116C">
        <w:rPr>
          <w:rFonts w:ascii="Arial" w:hAnsi="Arial" w:cs="Arial"/>
          <w:b w:val="0"/>
          <w:vanish w:val="0"/>
          <w:szCs w:val="22"/>
          <w:u w:val="none"/>
          <w:lang w:val="ro-RO"/>
        </w:rPr>
        <w:t xml:space="preserve">Propunem a se conveni asupra următoarelor: </w:t>
      </w:r>
    </w:p>
    <w:p w:rsidR="00625C46" w:rsidRPr="00A9116C" w:rsidRDefault="00625C46" w:rsidP="00625C46">
      <w:pPr>
        <w:pStyle w:val="2"/>
        <w:numPr>
          <w:ilvl w:val="1"/>
          <w:numId w:val="6"/>
        </w:numPr>
        <w:rPr>
          <w:u w:val="single"/>
          <w:lang w:val="ro-RO"/>
        </w:rPr>
      </w:pPr>
      <w:r w:rsidRPr="00A9116C">
        <w:rPr>
          <w:u w:val="single"/>
          <w:lang w:val="ro-RO"/>
        </w:rPr>
        <w:t xml:space="preserve">Schița Proiectului </w:t>
      </w:r>
    </w:p>
    <w:p w:rsidR="00625C46" w:rsidRPr="00A9116C" w:rsidRDefault="00625C46" w:rsidP="00625C46">
      <w:pPr>
        <w:pStyle w:val="3"/>
        <w:numPr>
          <w:ilvl w:val="2"/>
          <w:numId w:val="2"/>
        </w:numPr>
        <w:rPr>
          <w:b/>
          <w:u w:val="single"/>
          <w:lang w:val="ro-RO"/>
        </w:rPr>
      </w:pPr>
      <w:r w:rsidRPr="00A9116C">
        <w:rPr>
          <w:b/>
          <w:u w:val="single"/>
          <w:lang w:val="ro-RO"/>
        </w:rPr>
        <w:t>Despre Proiect</w:t>
      </w:r>
    </w:p>
    <w:p w:rsidR="00625C46" w:rsidRPr="00A9116C" w:rsidRDefault="00625C46" w:rsidP="00625C46">
      <w:pPr>
        <w:rPr>
          <w:rFonts w:cs="Arial"/>
          <w:szCs w:val="22"/>
          <w:lang w:val="ro-RO"/>
        </w:rPr>
      </w:pPr>
      <w:r w:rsidRPr="00A9116C">
        <w:rPr>
          <w:rStyle w:val="tlid-translation"/>
          <w:lang w:val="ro-RO"/>
        </w:rPr>
        <w:t xml:space="preserve">Proiectul vizează construcția unei conducte de apă Chișinău-Strășeni-Călărași, investiții în rețeaua de apă municipală, precum și servicii de consultanță aferente. Scopul Proiectului este de a îmbunătăți rețeaua de aprovizionare cu apă în ceea ce privește calitatea apei și perioada de aprovizionare pentru populația raioanelor Strășeni și Călărași. Urmărirea acestui scop contribuie la obiectivul comun al programului de cooperare Germană, astfel încât instituțiile publice care acționează în conformitate cu principiile bunei guvernări să </w:t>
      </w:r>
      <w:r w:rsidRPr="00A9116C">
        <w:rPr>
          <w:rStyle w:val="tlid-translation"/>
          <w:lang w:val="ro-RO"/>
        </w:rPr>
        <w:lastRenderedPageBreak/>
        <w:t>asigure un acces îmbunătățit la serviciile publice locale în sectoarele prioritare pentru populație.</w:t>
      </w:r>
    </w:p>
    <w:p w:rsidR="00625C46" w:rsidRPr="00A9116C" w:rsidRDefault="00625C46" w:rsidP="00625C46">
      <w:pPr>
        <w:rPr>
          <w:rFonts w:cs="Arial"/>
          <w:szCs w:val="22"/>
          <w:lang w:val="ro-RO"/>
        </w:rPr>
      </w:pPr>
      <w:r w:rsidRPr="00A9116C">
        <w:rPr>
          <w:rFonts w:cs="Arial"/>
          <w:szCs w:val="22"/>
          <w:lang w:val="ro-RO"/>
        </w:rPr>
        <w:t>Criteriile pentru atingerea acestor obiective, rezultatele Proiectului și activitățile de Proiect necesare, precum și ipotezele care stau la baza Proiectului și rezultatele Proiectului sunt prezentate în Anexa 1.</w:t>
      </w:r>
    </w:p>
    <w:p w:rsidR="00625C46" w:rsidRPr="00A9116C" w:rsidRDefault="00625C46" w:rsidP="00625C46">
      <w:pPr>
        <w:tabs>
          <w:tab w:val="left" w:pos="6946"/>
        </w:tabs>
        <w:spacing w:after="120"/>
        <w:rPr>
          <w:rFonts w:cs="Arial"/>
          <w:szCs w:val="22"/>
          <w:lang w:val="ro-RO"/>
        </w:rPr>
      </w:pPr>
      <w:r w:rsidRPr="00A9116C">
        <w:rPr>
          <w:rFonts w:cs="Arial"/>
          <w:szCs w:val="22"/>
          <w:lang w:val="ro-RO"/>
        </w:rPr>
        <w:t>Schița Proiectului se bazează pe Studiul de Fezabilitate (SF) „Îmbunătățirea infrastructurii de aprovizionare cu apă în Moldova Centrală” elaborat de CES Consulting Engineers Salzgitter GmbH pentru Ministerul Mediului, actualmente Ministerul Agriculturii, Dezvoltării Regionale și Mediului (MADRM), la data de 10 mai 2018 și cu privire la acordurile încheiate între KfW și Agenția de Executare a Proiectului în cadrul evaluării locale a Proiectului, documentate prin Procesul-verbal al Misiunii din 6 septembrie 2018.</w:t>
      </w:r>
    </w:p>
    <w:p w:rsidR="00625C46" w:rsidRPr="00A9116C" w:rsidRDefault="00625C46" w:rsidP="00625C46">
      <w:pPr>
        <w:rPr>
          <w:rFonts w:cs="Arial"/>
          <w:szCs w:val="24"/>
          <w:lang w:val="ro-RO"/>
        </w:rPr>
      </w:pPr>
      <w:r w:rsidRPr="00A9116C">
        <w:rPr>
          <w:rFonts w:eastAsiaTheme="minorHAnsi" w:cs="Arial"/>
          <w:szCs w:val="24"/>
          <w:lang w:val="ro-RO"/>
        </w:rPr>
        <w:t>Proiectul cuprinde prima fază a unui Program extins. Următoarele activități de Proiect urmează a fi finanțate din contul Grantului la prima etapă (denumit în continuare „Proiect”):</w:t>
      </w:r>
    </w:p>
    <w:p w:rsidR="00625C46" w:rsidRPr="00A9116C" w:rsidRDefault="00625C46" w:rsidP="00625C46">
      <w:pPr>
        <w:pStyle w:val="aff5"/>
        <w:numPr>
          <w:ilvl w:val="0"/>
          <w:numId w:val="33"/>
        </w:numPr>
        <w:spacing w:after="120" w:line="276" w:lineRule="auto"/>
        <w:ind w:left="567" w:hanging="425"/>
        <w:contextualSpacing w:val="0"/>
        <w:rPr>
          <w:rFonts w:eastAsiaTheme="minorHAnsi" w:cs="Arial"/>
          <w:szCs w:val="24"/>
          <w:lang w:val="ro-RO"/>
        </w:rPr>
      </w:pPr>
      <w:r w:rsidRPr="00A9116C">
        <w:rPr>
          <w:rFonts w:eastAsiaTheme="minorHAnsi" w:cs="Arial"/>
          <w:szCs w:val="24"/>
          <w:lang w:val="ro-RO"/>
        </w:rPr>
        <w:t>Construcția unei conducte principale (CP) noi de la Chișinău la Strășeni și la Călărași cu o lungime de aproximativ 52 km și conectarea acesteia la rezervoarele existente în ambele orașe și - în cazul suficienței fondurilor și lipsei obiecțiilor din partea KfW - către satele cu rețele interne existente de-a lungul traseului conductelor. Construcția va fi subterană și va urma pe cât posibil rutele de transport public. De la uzina de procesare existentă în Chișinău, unde are loc prelucrarea apei din râul Nistru, apa este pompată printr-o conductă existentă către o cameră de conectare (încă urmează a fi construită) de unde începe noua conductă principală de transmisie.</w:t>
      </w:r>
    </w:p>
    <w:p w:rsidR="00625C46" w:rsidRPr="00A9116C" w:rsidRDefault="00625C46" w:rsidP="00625C46">
      <w:pPr>
        <w:pStyle w:val="aff5"/>
        <w:numPr>
          <w:ilvl w:val="0"/>
          <w:numId w:val="33"/>
        </w:numPr>
        <w:spacing w:after="120" w:line="276" w:lineRule="auto"/>
        <w:ind w:left="567" w:hanging="425"/>
        <w:contextualSpacing w:val="0"/>
        <w:rPr>
          <w:rFonts w:eastAsiaTheme="minorHAnsi" w:cs="Arial"/>
          <w:szCs w:val="24"/>
          <w:lang w:val="ro-RO"/>
        </w:rPr>
      </w:pPr>
      <w:r w:rsidRPr="00A9116C">
        <w:rPr>
          <w:rFonts w:eastAsiaTheme="minorHAnsi" w:cs="Arial"/>
          <w:szCs w:val="24"/>
          <w:lang w:val="ro-RO"/>
        </w:rPr>
        <w:t>Reabilitarea și extinderea rețelelor urbane de aprovizionare cu apă la Strășeni și Călărași.</w:t>
      </w:r>
    </w:p>
    <w:p w:rsidR="00625C46" w:rsidRPr="00A9116C" w:rsidRDefault="00625C46" w:rsidP="00625C46">
      <w:pPr>
        <w:rPr>
          <w:rFonts w:eastAsiaTheme="minorHAnsi" w:cs="Arial"/>
          <w:szCs w:val="24"/>
          <w:lang w:val="ro-RO"/>
        </w:rPr>
      </w:pPr>
      <w:r w:rsidRPr="00A9116C">
        <w:rPr>
          <w:rFonts w:eastAsiaTheme="minorHAnsi" w:cs="Arial"/>
          <w:szCs w:val="24"/>
          <w:lang w:val="ro-RO"/>
        </w:rPr>
        <w:t>Pe lângă investiții, Gran</w:t>
      </w:r>
      <w:r w:rsidR="00E67EF5" w:rsidRPr="00A9116C">
        <w:rPr>
          <w:rFonts w:eastAsiaTheme="minorHAnsi" w:cs="Arial"/>
          <w:szCs w:val="24"/>
          <w:lang w:val="ro-RO"/>
        </w:rPr>
        <w:t xml:space="preserve">tul acoperă și </w:t>
      </w:r>
      <w:r w:rsidR="00100EE6" w:rsidRPr="00A9116C">
        <w:rPr>
          <w:rFonts w:eastAsiaTheme="minorHAnsi" w:cs="Arial"/>
          <w:szCs w:val="24"/>
          <w:lang w:val="ro-RO"/>
        </w:rPr>
        <w:t xml:space="preserve">costul serviciilor </w:t>
      </w:r>
      <w:r w:rsidR="00E67EF5" w:rsidRPr="00A9116C">
        <w:rPr>
          <w:rFonts w:eastAsiaTheme="minorHAnsi" w:cs="Arial"/>
          <w:szCs w:val="24"/>
          <w:lang w:val="ro-RO"/>
        </w:rPr>
        <w:t>unui Consultant în I</w:t>
      </w:r>
      <w:r w:rsidRPr="00A9116C">
        <w:rPr>
          <w:rFonts w:eastAsiaTheme="minorHAnsi" w:cs="Arial"/>
          <w:szCs w:val="24"/>
          <w:lang w:val="ro-RO"/>
        </w:rPr>
        <w:t xml:space="preserve">mplementare. Investițiile finanțate din Grant vor fi completate de măsuri care vor fi </w:t>
      </w:r>
      <w:r w:rsidR="00E67EF5" w:rsidRPr="00A9116C">
        <w:rPr>
          <w:rFonts w:eastAsiaTheme="minorHAnsi" w:cs="Arial"/>
          <w:szCs w:val="24"/>
          <w:lang w:val="ro-RO"/>
        </w:rPr>
        <w:t>acoperite</w:t>
      </w:r>
      <w:r w:rsidRPr="00A9116C">
        <w:rPr>
          <w:rFonts w:eastAsiaTheme="minorHAnsi" w:cs="Arial"/>
          <w:szCs w:val="24"/>
          <w:lang w:val="ro-RO"/>
        </w:rPr>
        <w:t xml:space="preserve"> </w:t>
      </w:r>
      <w:r w:rsidR="00C7712E" w:rsidRPr="00A9116C">
        <w:rPr>
          <w:rFonts w:eastAsiaTheme="minorHAnsi" w:cs="Arial"/>
          <w:szCs w:val="24"/>
          <w:lang w:val="ro-RO"/>
        </w:rPr>
        <w:t xml:space="preserve">din </w:t>
      </w:r>
      <w:r w:rsidRPr="00A9116C">
        <w:rPr>
          <w:rFonts w:eastAsiaTheme="minorHAnsi" w:cs="Arial"/>
          <w:szCs w:val="24"/>
          <w:lang w:val="ro-RO"/>
        </w:rPr>
        <w:t>contribuția partenerului.</w:t>
      </w:r>
    </w:p>
    <w:p w:rsidR="00625C46" w:rsidRPr="00A9116C" w:rsidRDefault="00625C46" w:rsidP="00625C46">
      <w:pPr>
        <w:rPr>
          <w:rFonts w:eastAsiaTheme="minorHAnsi" w:cs="Arial"/>
          <w:szCs w:val="24"/>
          <w:lang w:val="ro-RO"/>
        </w:rPr>
      </w:pPr>
      <w:r w:rsidRPr="00A9116C">
        <w:rPr>
          <w:rFonts w:eastAsiaTheme="minorHAnsi" w:cs="Arial"/>
          <w:szCs w:val="24"/>
          <w:lang w:val="ro-RO"/>
        </w:rPr>
        <w:t>În viitor, rețelele de apă urbane și rurale vor fi extinse în continuare, iar Beneficiarul s-a angajat să conecteze încă cel puțin 30.000 de persoane la conductă, prin investiții proprii sau resurse atrase. Întregul Program, inclusiv prima etapă și etapele viitoare, este denumit în continuare „Program”. Măsurile concrete ale etapelor viitoare ale Programului se bazează pe rezultatele studiului de fezabilitate, dar sunt supuse consultărilor ulterioare între KfW și partenerii moldoveni respectivi.</w:t>
      </w:r>
    </w:p>
    <w:p w:rsidR="00625C46" w:rsidRPr="00A9116C" w:rsidRDefault="00625C46" w:rsidP="00625C46">
      <w:pPr>
        <w:pStyle w:val="3"/>
        <w:numPr>
          <w:ilvl w:val="2"/>
          <w:numId w:val="6"/>
        </w:numPr>
        <w:rPr>
          <w:b/>
          <w:lang w:val="ro-RO"/>
        </w:rPr>
      </w:pPr>
      <w:r w:rsidRPr="00A9116C">
        <w:rPr>
          <w:b/>
          <w:u w:val="single"/>
          <w:lang w:val="ro-RO"/>
        </w:rPr>
        <w:t xml:space="preserve">Graficul Proiectului </w:t>
      </w:r>
    </w:p>
    <w:p w:rsidR="00625C46" w:rsidRPr="00A9116C" w:rsidRDefault="00625C46" w:rsidP="00625C46">
      <w:pPr>
        <w:rPr>
          <w:lang w:val="ro-RO"/>
        </w:rPr>
      </w:pPr>
      <w:r w:rsidRPr="00A9116C">
        <w:rPr>
          <w:lang w:val="ro-RO"/>
        </w:rPr>
        <w:t>Graficul pentru pregătirea, implementarea și desfășurarea Proiectului este prezentat în Anexa 2.</w:t>
      </w:r>
    </w:p>
    <w:p w:rsidR="00625C46" w:rsidRPr="00A9116C" w:rsidRDefault="00803EB1" w:rsidP="00625C46">
      <w:pPr>
        <w:pStyle w:val="3"/>
        <w:numPr>
          <w:ilvl w:val="2"/>
          <w:numId w:val="6"/>
        </w:numPr>
        <w:rPr>
          <w:b/>
          <w:u w:val="single"/>
          <w:lang w:val="ro-RO"/>
        </w:rPr>
      </w:pPr>
      <w:r w:rsidRPr="00A9116C">
        <w:rPr>
          <w:b/>
          <w:u w:val="single"/>
          <w:lang w:val="ro-RO"/>
        </w:rPr>
        <w:t>Cost</w:t>
      </w:r>
      <w:r w:rsidR="00625C46" w:rsidRPr="00A9116C">
        <w:rPr>
          <w:b/>
          <w:u w:val="single"/>
          <w:lang w:val="ro-RO"/>
        </w:rPr>
        <w:t xml:space="preserve"> Total și Finanțare</w:t>
      </w:r>
    </w:p>
    <w:p w:rsidR="00625C46" w:rsidRPr="00A9116C" w:rsidRDefault="00625C46" w:rsidP="00625C46">
      <w:pPr>
        <w:rPr>
          <w:lang w:val="ro-RO"/>
        </w:rPr>
      </w:pPr>
      <w:r w:rsidRPr="00A9116C">
        <w:rPr>
          <w:lang w:val="ro-RO"/>
        </w:rPr>
        <w:lastRenderedPageBreak/>
        <w:t>Costul total estimat al Proiectului („Cost total”)</w:t>
      </w:r>
      <w:r w:rsidR="006240B7" w:rsidRPr="00A9116C">
        <w:rPr>
          <w:lang w:val="ro-RO"/>
        </w:rPr>
        <w:t>,</w:t>
      </w:r>
      <w:r w:rsidRPr="00A9116C">
        <w:rPr>
          <w:lang w:val="ro-RO"/>
        </w:rPr>
        <w:t xml:space="preserve"> care stă la baza evaluării Proiectului</w:t>
      </w:r>
      <w:r w:rsidR="006240B7" w:rsidRPr="00A9116C">
        <w:rPr>
          <w:lang w:val="ro-RO"/>
        </w:rPr>
        <w:t>,</w:t>
      </w:r>
      <w:r w:rsidRPr="00A9116C">
        <w:rPr>
          <w:lang w:val="ro-RO"/>
        </w:rPr>
        <w:t xml:space="preserve"> este de aproximativ 16,95 milioane EUR. Valoarea contribuției financiare este un Grant de 15,0 milioane EUR. </w:t>
      </w:r>
      <w:r w:rsidR="00A47447" w:rsidRPr="00A9116C">
        <w:rPr>
          <w:lang w:val="ro-RO"/>
        </w:rPr>
        <w:t xml:space="preserve">Structura </w:t>
      </w:r>
      <w:r w:rsidRPr="00A9116C">
        <w:rPr>
          <w:lang w:val="ro-RO"/>
        </w:rPr>
        <w:t xml:space="preserve">costurilor totale și planul de finanțare sunt prezentate în Anexa 3 și Anexa 4 </w:t>
      </w:r>
      <w:r w:rsidR="006240B7" w:rsidRPr="00A9116C">
        <w:rPr>
          <w:lang w:val="ro-RO"/>
        </w:rPr>
        <w:t>”</w:t>
      </w:r>
      <w:r w:rsidRPr="00A9116C">
        <w:rPr>
          <w:lang w:val="ro-RO"/>
        </w:rPr>
        <w:t>Proceduri de Debursare</w:t>
      </w:r>
      <w:r w:rsidR="006240B7" w:rsidRPr="00A9116C">
        <w:rPr>
          <w:lang w:val="ro-RO"/>
        </w:rPr>
        <w:t>”</w:t>
      </w:r>
      <w:r w:rsidRPr="00A9116C">
        <w:rPr>
          <w:lang w:val="ro-RO"/>
        </w:rPr>
        <w:t>.</w:t>
      </w:r>
    </w:p>
    <w:p w:rsidR="00625C46" w:rsidRPr="00A9116C" w:rsidRDefault="00625C46" w:rsidP="00625C46">
      <w:pPr>
        <w:pStyle w:val="3"/>
        <w:numPr>
          <w:ilvl w:val="2"/>
          <w:numId w:val="6"/>
        </w:numPr>
        <w:rPr>
          <w:lang w:val="ro-RO"/>
        </w:rPr>
      </w:pPr>
      <w:r w:rsidRPr="00A9116C">
        <w:rPr>
          <w:b/>
          <w:u w:val="single"/>
          <w:lang w:val="ro-RO"/>
        </w:rPr>
        <w:t>Modificarea Schiței Proiectului</w:t>
      </w:r>
    </w:p>
    <w:p w:rsidR="00625C46" w:rsidRPr="00A9116C" w:rsidRDefault="00625C46" w:rsidP="00625C46">
      <w:pPr>
        <w:rPr>
          <w:lang w:val="ro-RO"/>
        </w:rPr>
      </w:pPr>
      <w:r w:rsidRPr="00A9116C">
        <w:rPr>
          <w:lang w:val="ro-RO"/>
        </w:rPr>
        <w:t>Orice schimbare majoră în schița Proiectului (după cum este stabilit mai sus) necesită acordul prealabil al KfW. Agenția de Executare a Proiectului informează KfW cu privire la aceasta imediat, indicând motivele, măsurile planificate și consecințele schimbării (inclusiv asupra Costului Total). Executarea acestor măsuri poate începe numai pe baza unei planificări revizuite și cu acordul scris al KfW.</w:t>
      </w:r>
    </w:p>
    <w:p w:rsidR="00625C46" w:rsidRPr="00A9116C" w:rsidRDefault="00625C46" w:rsidP="00625C46">
      <w:pPr>
        <w:pStyle w:val="2"/>
        <w:numPr>
          <w:ilvl w:val="1"/>
          <w:numId w:val="6"/>
        </w:numPr>
        <w:rPr>
          <w:u w:val="single"/>
          <w:lang w:val="ro-RO"/>
        </w:rPr>
      </w:pPr>
      <w:r w:rsidRPr="00A9116C">
        <w:rPr>
          <w:u w:val="single"/>
          <w:lang w:val="ro-RO"/>
        </w:rPr>
        <w:t xml:space="preserve">Implementarea Proiectului </w:t>
      </w:r>
    </w:p>
    <w:p w:rsidR="00625C46" w:rsidRPr="00A9116C" w:rsidRDefault="00625C46" w:rsidP="00625C46">
      <w:pPr>
        <w:pStyle w:val="3"/>
        <w:numPr>
          <w:ilvl w:val="2"/>
          <w:numId w:val="29"/>
        </w:numPr>
        <w:rPr>
          <w:b/>
          <w:u w:val="single"/>
          <w:lang w:val="ro-RO"/>
        </w:rPr>
      </w:pPr>
      <w:r w:rsidRPr="00A9116C">
        <w:rPr>
          <w:b/>
          <w:u w:val="single"/>
          <w:lang w:val="ro-RO"/>
        </w:rPr>
        <w:t>Responsabilități și Termeni, Cost și Grafic de Finanțare</w:t>
      </w:r>
      <w:bookmarkStart w:id="10" w:name="_GoBack"/>
      <w:bookmarkEnd w:id="10"/>
    </w:p>
    <w:p w:rsidR="00625C46" w:rsidRPr="00A9116C" w:rsidRDefault="00625C46" w:rsidP="00625C46">
      <w:pPr>
        <w:pStyle w:val="4"/>
        <w:rPr>
          <w:lang w:val="ro-RO" w:eastAsia="de-DE"/>
        </w:rPr>
      </w:pPr>
      <w:r w:rsidRPr="00A9116C">
        <w:rPr>
          <w:rFonts w:cs="Arial"/>
          <w:szCs w:val="22"/>
          <w:lang w:val="ro-RO" w:eastAsia="de-DE"/>
        </w:rPr>
        <w:t xml:space="preserve">Agenția de Dezvoltare Regională Centru este responsabilă de implementarea Proiectului în calitate de Agenție de Executare a Proiectului (AEP). Apa Canal Chișinău (ACC) și primăriile </w:t>
      </w:r>
      <w:r w:rsidR="00F27B47" w:rsidRPr="00A9116C">
        <w:rPr>
          <w:rFonts w:cs="Arial"/>
          <w:szCs w:val="22"/>
          <w:lang w:val="ro-RO" w:eastAsia="de-DE"/>
        </w:rPr>
        <w:t>mun.</w:t>
      </w:r>
      <w:r w:rsidR="00983D19" w:rsidRPr="00A9116C">
        <w:rPr>
          <w:rFonts w:cs="Arial"/>
          <w:szCs w:val="22"/>
          <w:lang w:val="ro-RO" w:eastAsia="de-DE"/>
        </w:rPr>
        <w:t xml:space="preserve"> </w:t>
      </w:r>
      <w:r w:rsidRPr="00A9116C">
        <w:rPr>
          <w:rFonts w:cs="Arial"/>
          <w:szCs w:val="22"/>
          <w:lang w:val="ro-RO" w:eastAsia="de-DE"/>
        </w:rPr>
        <w:t xml:space="preserve">Strășeni și </w:t>
      </w:r>
      <w:r w:rsidR="00F27B47" w:rsidRPr="00A9116C">
        <w:rPr>
          <w:rFonts w:cs="Arial"/>
          <w:szCs w:val="22"/>
          <w:lang w:val="ro-RO" w:eastAsia="de-DE"/>
        </w:rPr>
        <w:t>mun.</w:t>
      </w:r>
      <w:r w:rsidR="00983D19" w:rsidRPr="00A9116C">
        <w:rPr>
          <w:rFonts w:cs="Arial"/>
          <w:szCs w:val="22"/>
          <w:lang w:val="ro-RO" w:eastAsia="de-DE"/>
        </w:rPr>
        <w:t xml:space="preserve"> </w:t>
      </w:r>
      <w:r w:rsidRPr="00A9116C">
        <w:rPr>
          <w:rFonts w:cs="Arial"/>
          <w:szCs w:val="22"/>
          <w:lang w:val="ro-RO" w:eastAsia="de-DE"/>
        </w:rPr>
        <w:t>Călărași (</w:t>
      </w:r>
      <w:r w:rsidR="00CE1A2A" w:rsidRPr="00CE1A2A">
        <w:rPr>
          <w:rFonts w:cs="Arial"/>
          <w:szCs w:val="22"/>
          <w:lang w:val="ro-RO" w:eastAsia="de-DE"/>
        </w:rPr>
        <w:t xml:space="preserve">în care primarii au atribuția de a </w:t>
      </w:r>
      <w:r w:rsidR="00CE1A2A" w:rsidRPr="00CE1A2A">
        <w:rPr>
          <w:rFonts w:cs="Arial"/>
          <w:szCs w:val="22"/>
          <w:lang w:val="ro-RO" w:eastAsia="de-DE"/>
        </w:rPr>
        <w:t>conduce, coordon</w:t>
      </w:r>
      <w:r w:rsidR="00CE1A2A" w:rsidRPr="00CE1A2A">
        <w:rPr>
          <w:rFonts w:cs="Arial"/>
          <w:szCs w:val="22"/>
          <w:lang w:val="ro-RO" w:eastAsia="de-DE"/>
        </w:rPr>
        <w:t>a</w:t>
      </w:r>
      <w:r w:rsidR="00CE1A2A" w:rsidRPr="00CE1A2A">
        <w:rPr>
          <w:rFonts w:cs="Arial"/>
          <w:szCs w:val="22"/>
          <w:lang w:val="ro-RO" w:eastAsia="de-DE"/>
        </w:rPr>
        <w:t xml:space="preserve"> şi control</w:t>
      </w:r>
      <w:r w:rsidR="00CE1A2A" w:rsidRPr="00CE1A2A">
        <w:rPr>
          <w:rFonts w:cs="Arial"/>
          <w:szCs w:val="22"/>
          <w:lang w:val="ro-RO" w:eastAsia="de-DE"/>
        </w:rPr>
        <w:t>a</w:t>
      </w:r>
      <w:r w:rsidR="00CE1A2A" w:rsidRPr="00CE1A2A">
        <w:rPr>
          <w:rFonts w:cs="Arial"/>
          <w:szCs w:val="22"/>
          <w:lang w:val="ro-RO" w:eastAsia="de-DE"/>
        </w:rPr>
        <w:t xml:space="preserve"> activitatea</w:t>
      </w:r>
      <w:r w:rsidRPr="00A9116C">
        <w:rPr>
          <w:rFonts w:cs="Arial"/>
          <w:szCs w:val="22"/>
          <w:lang w:val="ro-RO" w:eastAsia="de-DE"/>
        </w:rPr>
        <w:t xml:space="preserve"> serviciilor de apă din Strășeni și Călărași) sunt responsabile de exploatarea infrastructurii. </w:t>
      </w:r>
      <w:r w:rsidR="000B1D21" w:rsidRPr="00A9116C">
        <w:rPr>
          <w:rFonts w:cs="Arial"/>
          <w:szCs w:val="22"/>
          <w:lang w:val="ro-RO" w:eastAsia="de-DE"/>
        </w:rPr>
        <w:t>Agenția „</w:t>
      </w:r>
      <w:r w:rsidRPr="00A9116C">
        <w:rPr>
          <w:rFonts w:cs="Arial"/>
          <w:szCs w:val="22"/>
          <w:lang w:val="ro-RO" w:eastAsia="de-DE"/>
        </w:rPr>
        <w:t>Apele Moldovei</w:t>
      </w:r>
      <w:r w:rsidR="000B1D21" w:rsidRPr="00A9116C">
        <w:rPr>
          <w:rFonts w:cs="Arial"/>
          <w:szCs w:val="22"/>
          <w:lang w:val="ro-RO" w:eastAsia="de-DE"/>
        </w:rPr>
        <w:t>”</w:t>
      </w:r>
      <w:r w:rsidRPr="00A9116C">
        <w:rPr>
          <w:rFonts w:cs="Arial"/>
          <w:szCs w:val="22"/>
          <w:lang w:val="ro-RO" w:eastAsia="de-DE"/>
        </w:rPr>
        <w:t xml:space="preserve"> </w:t>
      </w:r>
      <w:r w:rsidR="00F27842" w:rsidRPr="00A9116C">
        <w:rPr>
          <w:rFonts w:cs="Arial"/>
          <w:szCs w:val="22"/>
          <w:lang w:val="ro-RO" w:eastAsia="de-DE"/>
        </w:rPr>
        <w:t xml:space="preserve">va avea în proprietate </w:t>
      </w:r>
      <w:r w:rsidRPr="00A9116C">
        <w:rPr>
          <w:rFonts w:cs="Arial"/>
          <w:szCs w:val="22"/>
          <w:lang w:val="ro-RO" w:eastAsia="de-DE"/>
        </w:rPr>
        <w:t>conducta principală, iar</w:t>
      </w:r>
      <w:r w:rsidR="009620B0" w:rsidRPr="00A9116C">
        <w:rPr>
          <w:rFonts w:cs="Arial"/>
          <w:szCs w:val="22"/>
          <w:lang w:val="ro-RO" w:eastAsia="de-DE"/>
        </w:rPr>
        <w:t xml:space="preserve"> primăriile</w:t>
      </w:r>
      <w:r w:rsidRPr="00A9116C">
        <w:rPr>
          <w:rFonts w:cs="Arial"/>
          <w:szCs w:val="22"/>
          <w:lang w:val="ro-RO" w:eastAsia="de-DE"/>
        </w:rPr>
        <w:t xml:space="preserve"> </w:t>
      </w:r>
      <w:r w:rsidR="009620B0" w:rsidRPr="00A9116C">
        <w:rPr>
          <w:rFonts w:cs="Arial"/>
          <w:szCs w:val="22"/>
          <w:lang w:val="ro-RO" w:eastAsia="de-DE"/>
        </w:rPr>
        <w:t xml:space="preserve">mun. </w:t>
      </w:r>
      <w:r w:rsidR="009C6440" w:rsidRPr="00A9116C">
        <w:rPr>
          <w:rFonts w:cs="Arial"/>
          <w:szCs w:val="22"/>
          <w:lang w:val="ro-RO" w:eastAsia="de-DE"/>
        </w:rPr>
        <w:t xml:space="preserve">Strășeni și </w:t>
      </w:r>
      <w:r w:rsidR="009620B0" w:rsidRPr="00A9116C">
        <w:rPr>
          <w:rFonts w:cs="Arial"/>
          <w:szCs w:val="22"/>
          <w:lang w:val="ro-RO" w:eastAsia="de-DE"/>
        </w:rPr>
        <w:t xml:space="preserve">mun. </w:t>
      </w:r>
      <w:r w:rsidR="009C6440" w:rsidRPr="00A9116C">
        <w:rPr>
          <w:rFonts w:cs="Arial"/>
          <w:szCs w:val="22"/>
          <w:lang w:val="ro-RO" w:eastAsia="de-DE"/>
        </w:rPr>
        <w:t>Călărași, respectiv</w:t>
      </w:r>
      <w:r w:rsidRPr="00A9116C">
        <w:rPr>
          <w:rFonts w:cs="Arial"/>
          <w:szCs w:val="22"/>
          <w:lang w:val="ro-RO" w:eastAsia="de-DE"/>
        </w:rPr>
        <w:t>, controlează infrastructura acestor orașe, care urmează a fi construită în cadrul acestui Proiect. AEP va coopera strâns cu Apa Canal Chișinău,</w:t>
      </w:r>
      <w:r w:rsidR="00F601BC" w:rsidRPr="00A9116C">
        <w:rPr>
          <w:rFonts w:cs="Arial"/>
          <w:szCs w:val="22"/>
          <w:lang w:val="ro-RO" w:eastAsia="de-DE"/>
        </w:rPr>
        <w:t xml:space="preserve"> Agenția ”</w:t>
      </w:r>
      <w:r w:rsidRPr="00A9116C">
        <w:rPr>
          <w:rFonts w:cs="Arial"/>
          <w:szCs w:val="22"/>
          <w:lang w:val="ro-RO" w:eastAsia="de-DE"/>
        </w:rPr>
        <w:t>Apele Moldovei</w:t>
      </w:r>
      <w:r w:rsidR="00F601BC" w:rsidRPr="00A9116C">
        <w:rPr>
          <w:rFonts w:cs="Arial"/>
          <w:szCs w:val="22"/>
          <w:lang w:val="ro-RO" w:eastAsia="de-DE"/>
        </w:rPr>
        <w:t>”</w:t>
      </w:r>
      <w:r w:rsidRPr="00A9116C">
        <w:rPr>
          <w:rFonts w:cs="Arial"/>
          <w:szCs w:val="22"/>
          <w:lang w:val="ro-RO" w:eastAsia="de-DE"/>
        </w:rPr>
        <w:t xml:space="preserve">, primăriile orașelor Strășeni și Călărași și cu </w:t>
      </w:r>
      <w:r w:rsidR="00F601BC" w:rsidRPr="00A9116C">
        <w:rPr>
          <w:rFonts w:cs="Arial"/>
          <w:szCs w:val="22"/>
          <w:lang w:val="ro-RO" w:eastAsia="de-DE"/>
        </w:rPr>
        <w:t xml:space="preserve">prestatorii de </w:t>
      </w:r>
      <w:r w:rsidRPr="00A9116C">
        <w:rPr>
          <w:rFonts w:cs="Arial"/>
          <w:szCs w:val="22"/>
          <w:lang w:val="ro-RO" w:eastAsia="de-DE"/>
        </w:rPr>
        <w:t>servicii de</w:t>
      </w:r>
      <w:r w:rsidR="00F601BC" w:rsidRPr="00A9116C">
        <w:rPr>
          <w:rFonts w:cs="Arial"/>
          <w:szCs w:val="22"/>
          <w:lang w:val="ro-RO" w:eastAsia="de-DE"/>
        </w:rPr>
        <w:t xml:space="preserve"> alimentare cu </w:t>
      </w:r>
      <w:r w:rsidRPr="00A9116C">
        <w:rPr>
          <w:rFonts w:cs="Arial"/>
          <w:szCs w:val="22"/>
          <w:lang w:val="ro-RO" w:eastAsia="de-DE"/>
        </w:rPr>
        <w:t xml:space="preserve">apă respective din </w:t>
      </w:r>
      <w:r w:rsidR="00F601BC" w:rsidRPr="00A9116C">
        <w:rPr>
          <w:rFonts w:cs="Arial"/>
          <w:szCs w:val="22"/>
          <w:lang w:val="ro-RO" w:eastAsia="de-DE"/>
        </w:rPr>
        <w:t xml:space="preserve">mun. </w:t>
      </w:r>
      <w:r w:rsidRPr="00A9116C">
        <w:rPr>
          <w:rFonts w:cs="Arial"/>
          <w:szCs w:val="22"/>
          <w:lang w:val="ro-RO" w:eastAsia="de-DE"/>
        </w:rPr>
        <w:t xml:space="preserve">Strășeni și </w:t>
      </w:r>
      <w:r w:rsidR="00F601BC" w:rsidRPr="00A9116C">
        <w:rPr>
          <w:rFonts w:cs="Arial"/>
          <w:szCs w:val="22"/>
          <w:lang w:val="ro-RO" w:eastAsia="de-DE"/>
        </w:rPr>
        <w:t xml:space="preserve">mun. </w:t>
      </w:r>
      <w:r w:rsidRPr="00A9116C">
        <w:rPr>
          <w:rFonts w:cs="Arial"/>
          <w:szCs w:val="22"/>
          <w:lang w:val="ro-RO" w:eastAsia="de-DE"/>
        </w:rPr>
        <w:t xml:space="preserve">Călărași în timpul pregătirii și implementării Programului și va determina de comun acord </w:t>
      </w:r>
      <w:r w:rsidR="0061376F" w:rsidRPr="00A9116C">
        <w:rPr>
          <w:rFonts w:cs="Arial"/>
          <w:szCs w:val="22"/>
          <w:lang w:val="ro-RO" w:eastAsia="de-DE"/>
        </w:rPr>
        <w:t>aspectele Programului esențiale</w:t>
      </w:r>
      <w:r w:rsidRPr="00A9116C">
        <w:rPr>
          <w:rFonts w:cs="Arial"/>
          <w:szCs w:val="22"/>
          <w:lang w:val="ro-RO" w:eastAsia="de-DE"/>
        </w:rPr>
        <w:t xml:space="preserve"> pentru desfășurare.</w:t>
      </w:r>
    </w:p>
    <w:p w:rsidR="00625C46" w:rsidRPr="00A9116C" w:rsidRDefault="00625C46" w:rsidP="00625C46">
      <w:pPr>
        <w:rPr>
          <w:rFonts w:cs="Arial"/>
          <w:szCs w:val="22"/>
          <w:lang w:val="ro-RO"/>
        </w:rPr>
      </w:pPr>
      <w:r w:rsidRPr="00A9116C">
        <w:rPr>
          <w:rFonts w:cs="Arial"/>
          <w:szCs w:val="22"/>
          <w:lang w:val="ro-RO"/>
        </w:rPr>
        <w:t xml:space="preserve">Pentru gestionarea Programului, AEP va înființa un grup de lucru </w:t>
      </w:r>
      <w:r w:rsidR="007908F4" w:rsidRPr="00A9116C">
        <w:rPr>
          <w:rFonts w:cs="Arial"/>
          <w:szCs w:val="22"/>
          <w:lang w:val="ro-RO"/>
        </w:rPr>
        <w:t xml:space="preserve">al </w:t>
      </w:r>
      <w:r w:rsidRPr="00A9116C">
        <w:rPr>
          <w:rFonts w:cs="Arial"/>
          <w:szCs w:val="22"/>
          <w:lang w:val="ro-RO"/>
        </w:rPr>
        <w:t>AEP,</w:t>
      </w:r>
      <w:r w:rsidR="007908F4" w:rsidRPr="00A9116C">
        <w:rPr>
          <w:rFonts w:cs="Arial"/>
          <w:szCs w:val="22"/>
          <w:lang w:val="ro-RO"/>
        </w:rPr>
        <w:t xml:space="preserve"> </w:t>
      </w:r>
      <w:r w:rsidRPr="00A9116C">
        <w:rPr>
          <w:rFonts w:cs="Arial"/>
          <w:szCs w:val="22"/>
          <w:lang w:val="ro-RO"/>
        </w:rPr>
        <w:t>care va include toate persoanele care lucrează la implementarea Programului. Acest grup de lucru urmează să se întrunească de două ori pe lună și să stabilească ședințe extraordinare în cazul în care va fi necesară pregătirea unei decizii speciale. Următoarele persoane trebuie incluse:</w:t>
      </w:r>
    </w:p>
    <w:p w:rsidR="00625C46" w:rsidRPr="00A9116C" w:rsidRDefault="00625C46" w:rsidP="00625C46">
      <w:pPr>
        <w:spacing w:after="120"/>
        <w:rPr>
          <w:rFonts w:cs="Arial"/>
          <w:b/>
          <w:szCs w:val="24"/>
          <w:lang w:val="ro-RO"/>
        </w:rPr>
      </w:pPr>
      <w:r w:rsidRPr="00A9116C">
        <w:rPr>
          <w:rFonts w:cs="Arial"/>
          <w:b/>
          <w:szCs w:val="24"/>
          <w:lang w:val="ro-RO"/>
        </w:rPr>
        <w:t>ADR Centru</w:t>
      </w:r>
    </w:p>
    <w:p w:rsidR="00625C46" w:rsidRPr="00A9116C" w:rsidRDefault="00625C46" w:rsidP="00625C46">
      <w:pPr>
        <w:pStyle w:val="aff5"/>
        <w:numPr>
          <w:ilvl w:val="0"/>
          <w:numId w:val="23"/>
        </w:numPr>
        <w:spacing w:before="0" w:after="120" w:line="240" w:lineRule="auto"/>
        <w:rPr>
          <w:rFonts w:cs="Arial"/>
          <w:szCs w:val="24"/>
          <w:lang w:val="ro-RO"/>
        </w:rPr>
      </w:pPr>
      <w:r w:rsidRPr="00A9116C">
        <w:rPr>
          <w:rFonts w:cs="Arial"/>
          <w:szCs w:val="24"/>
          <w:lang w:val="ro-RO"/>
        </w:rPr>
        <w:t xml:space="preserve">Directorul ADR </w:t>
      </w:r>
    </w:p>
    <w:p w:rsidR="00625C46" w:rsidRPr="00A9116C" w:rsidRDefault="00625C46" w:rsidP="00625C46">
      <w:pPr>
        <w:pStyle w:val="aff5"/>
        <w:numPr>
          <w:ilvl w:val="0"/>
          <w:numId w:val="23"/>
        </w:numPr>
        <w:spacing w:before="0" w:after="120" w:line="240" w:lineRule="auto"/>
        <w:rPr>
          <w:rFonts w:cs="Arial"/>
          <w:szCs w:val="24"/>
          <w:lang w:val="ro-RO"/>
        </w:rPr>
      </w:pPr>
      <w:r w:rsidRPr="00A9116C">
        <w:rPr>
          <w:rFonts w:cs="Arial"/>
          <w:szCs w:val="24"/>
          <w:lang w:val="ro-RO"/>
        </w:rPr>
        <w:t>Managerul de Proiect (zi de muncă deplină)</w:t>
      </w:r>
    </w:p>
    <w:p w:rsidR="00625C46" w:rsidRPr="00A9116C" w:rsidRDefault="00625C46" w:rsidP="00625C46">
      <w:pPr>
        <w:pStyle w:val="aff5"/>
        <w:numPr>
          <w:ilvl w:val="0"/>
          <w:numId w:val="23"/>
        </w:numPr>
        <w:spacing w:before="0" w:after="120" w:line="240" w:lineRule="auto"/>
        <w:rPr>
          <w:rFonts w:cs="Arial"/>
          <w:szCs w:val="24"/>
          <w:lang w:val="ro-RO"/>
        </w:rPr>
      </w:pPr>
      <w:r w:rsidRPr="00A9116C">
        <w:rPr>
          <w:rFonts w:cs="Arial"/>
          <w:szCs w:val="24"/>
          <w:lang w:val="ro-RO"/>
        </w:rPr>
        <w:t>Doi ingineri (cel puțin unul din ei cu zi de muncă deplină)</w:t>
      </w:r>
    </w:p>
    <w:p w:rsidR="00625C46" w:rsidRPr="00A9116C" w:rsidRDefault="00625C46" w:rsidP="00625C46">
      <w:pPr>
        <w:pStyle w:val="aff5"/>
        <w:numPr>
          <w:ilvl w:val="0"/>
          <w:numId w:val="23"/>
        </w:numPr>
        <w:spacing w:before="0" w:after="120" w:line="240" w:lineRule="auto"/>
        <w:rPr>
          <w:rFonts w:cs="Arial"/>
          <w:szCs w:val="24"/>
          <w:lang w:val="ro-RO"/>
        </w:rPr>
      </w:pPr>
      <w:r w:rsidRPr="00A9116C">
        <w:rPr>
          <w:rFonts w:cs="Arial"/>
          <w:szCs w:val="24"/>
          <w:lang w:val="ro-RO"/>
        </w:rPr>
        <w:t xml:space="preserve">Experți în Economie și Finanțe </w:t>
      </w:r>
    </w:p>
    <w:p w:rsidR="00625C46" w:rsidRPr="00A9116C" w:rsidRDefault="00625C46" w:rsidP="00625C46">
      <w:pPr>
        <w:pStyle w:val="aff5"/>
        <w:numPr>
          <w:ilvl w:val="0"/>
          <w:numId w:val="23"/>
        </w:numPr>
        <w:spacing w:before="0" w:after="120" w:line="240" w:lineRule="auto"/>
        <w:rPr>
          <w:rFonts w:cs="Arial"/>
          <w:szCs w:val="24"/>
          <w:lang w:val="ro-RO"/>
        </w:rPr>
      </w:pPr>
      <w:r w:rsidRPr="00A9116C">
        <w:rPr>
          <w:rFonts w:cs="Arial"/>
          <w:szCs w:val="24"/>
          <w:lang w:val="ro-RO"/>
        </w:rPr>
        <w:t xml:space="preserve">Specialiști în Rapoarte Financiare și Narative </w:t>
      </w:r>
    </w:p>
    <w:p w:rsidR="00625C46" w:rsidRPr="00A9116C" w:rsidRDefault="00625C46" w:rsidP="00625C46">
      <w:pPr>
        <w:pStyle w:val="aff5"/>
        <w:numPr>
          <w:ilvl w:val="0"/>
          <w:numId w:val="23"/>
        </w:numPr>
        <w:spacing w:before="0" w:after="120" w:line="240" w:lineRule="auto"/>
        <w:rPr>
          <w:rFonts w:cs="Arial"/>
          <w:szCs w:val="24"/>
          <w:lang w:val="ro-RO"/>
        </w:rPr>
      </w:pPr>
      <w:r w:rsidRPr="00A9116C">
        <w:rPr>
          <w:rFonts w:cs="Arial"/>
          <w:szCs w:val="24"/>
          <w:lang w:val="ro-RO"/>
        </w:rPr>
        <w:t>Experți în Achiziții</w:t>
      </w:r>
    </w:p>
    <w:p w:rsidR="00625C46" w:rsidRPr="00A9116C" w:rsidRDefault="00625C46" w:rsidP="00625C46">
      <w:pPr>
        <w:pStyle w:val="aff5"/>
        <w:numPr>
          <w:ilvl w:val="0"/>
          <w:numId w:val="23"/>
        </w:numPr>
        <w:spacing w:before="0" w:after="120" w:line="240" w:lineRule="auto"/>
        <w:rPr>
          <w:rFonts w:cs="Arial"/>
          <w:szCs w:val="24"/>
          <w:lang w:val="ro-RO"/>
        </w:rPr>
      </w:pPr>
      <w:r w:rsidRPr="00A9116C">
        <w:rPr>
          <w:rFonts w:cs="Arial"/>
          <w:szCs w:val="24"/>
          <w:lang w:val="ro-RO"/>
        </w:rPr>
        <w:t xml:space="preserve">Experți în domeniul Mediului, Social, Sănătății și Siguranței (MSSS) </w:t>
      </w:r>
    </w:p>
    <w:p w:rsidR="00625C46" w:rsidRPr="00626846" w:rsidRDefault="00625C46" w:rsidP="00625C46">
      <w:pPr>
        <w:spacing w:after="120"/>
        <w:rPr>
          <w:rFonts w:cs="Arial"/>
          <w:b/>
          <w:color w:val="FF0000"/>
          <w:szCs w:val="24"/>
          <w:lang w:val="ro-RO"/>
        </w:rPr>
      </w:pPr>
      <w:r w:rsidRPr="00626846">
        <w:rPr>
          <w:rFonts w:cs="Arial"/>
          <w:b/>
          <w:color w:val="FF0000"/>
          <w:szCs w:val="24"/>
          <w:lang w:val="ro-RO"/>
        </w:rPr>
        <w:t>Apă Canal Chișinău</w:t>
      </w:r>
    </w:p>
    <w:p w:rsidR="00625C46" w:rsidRPr="00626846" w:rsidRDefault="00625C46" w:rsidP="00625C46">
      <w:pPr>
        <w:pStyle w:val="aff5"/>
        <w:numPr>
          <w:ilvl w:val="0"/>
          <w:numId w:val="24"/>
        </w:numPr>
        <w:spacing w:before="0" w:after="120" w:line="240" w:lineRule="auto"/>
        <w:rPr>
          <w:rFonts w:cs="Arial"/>
          <w:color w:val="FF0000"/>
          <w:szCs w:val="24"/>
          <w:lang w:val="ro-RO"/>
        </w:rPr>
      </w:pPr>
      <w:r w:rsidRPr="00626846">
        <w:rPr>
          <w:rFonts w:cs="Arial"/>
          <w:color w:val="FF0000"/>
          <w:szCs w:val="24"/>
          <w:lang w:val="ro-RO"/>
        </w:rPr>
        <w:lastRenderedPageBreak/>
        <w:t>Persoană de legătură</w:t>
      </w:r>
    </w:p>
    <w:p w:rsidR="00625C46" w:rsidRPr="00626846" w:rsidRDefault="00625C46" w:rsidP="00625C46">
      <w:pPr>
        <w:pStyle w:val="aff5"/>
        <w:numPr>
          <w:ilvl w:val="0"/>
          <w:numId w:val="24"/>
        </w:numPr>
        <w:spacing w:before="0" w:after="120" w:line="240" w:lineRule="auto"/>
        <w:rPr>
          <w:rFonts w:cs="Arial"/>
          <w:color w:val="FF0000"/>
          <w:szCs w:val="24"/>
          <w:lang w:val="ro-RO"/>
        </w:rPr>
      </w:pPr>
      <w:r w:rsidRPr="00626846">
        <w:rPr>
          <w:rFonts w:cs="Arial"/>
          <w:color w:val="FF0000"/>
          <w:szCs w:val="24"/>
          <w:lang w:val="ro-RO"/>
        </w:rPr>
        <w:t>Ingineri și specialiști pentru suportul grupului de lucru AEP</w:t>
      </w:r>
    </w:p>
    <w:p w:rsidR="00625C46" w:rsidRPr="00626846" w:rsidRDefault="00625C46" w:rsidP="00625C46">
      <w:pPr>
        <w:spacing w:after="120"/>
        <w:rPr>
          <w:rFonts w:cs="Arial"/>
          <w:b/>
          <w:color w:val="FF0000"/>
          <w:szCs w:val="24"/>
          <w:lang w:val="ro-RO"/>
        </w:rPr>
      </w:pPr>
      <w:r w:rsidRPr="00626846">
        <w:rPr>
          <w:rFonts w:cs="Arial"/>
          <w:b/>
          <w:color w:val="FF0000"/>
          <w:szCs w:val="24"/>
          <w:lang w:val="ro-RO"/>
        </w:rPr>
        <w:t>Apă Canal Strășeni</w:t>
      </w:r>
    </w:p>
    <w:p w:rsidR="00625C46" w:rsidRPr="00626846" w:rsidRDefault="00625C46" w:rsidP="00625C46">
      <w:pPr>
        <w:pStyle w:val="aff5"/>
        <w:numPr>
          <w:ilvl w:val="0"/>
          <w:numId w:val="24"/>
        </w:numPr>
        <w:spacing w:before="0" w:after="120" w:line="240" w:lineRule="auto"/>
        <w:rPr>
          <w:rFonts w:cs="Arial"/>
          <w:color w:val="FF0000"/>
          <w:szCs w:val="24"/>
          <w:lang w:val="ro-RO"/>
        </w:rPr>
      </w:pPr>
      <w:r w:rsidRPr="00626846">
        <w:rPr>
          <w:rFonts w:cs="Arial"/>
          <w:color w:val="FF0000"/>
          <w:szCs w:val="24"/>
          <w:lang w:val="ro-RO"/>
        </w:rPr>
        <w:t>Persoană de legătură</w:t>
      </w:r>
    </w:p>
    <w:p w:rsidR="00625C46" w:rsidRPr="00626846" w:rsidRDefault="00625C46" w:rsidP="00625C46">
      <w:pPr>
        <w:pStyle w:val="aff5"/>
        <w:numPr>
          <w:ilvl w:val="0"/>
          <w:numId w:val="24"/>
        </w:numPr>
        <w:spacing w:before="0" w:after="120" w:line="240" w:lineRule="auto"/>
        <w:rPr>
          <w:rFonts w:cs="Arial"/>
          <w:color w:val="FF0000"/>
          <w:szCs w:val="24"/>
          <w:lang w:val="ro-RO"/>
        </w:rPr>
      </w:pPr>
      <w:r w:rsidRPr="00626846">
        <w:rPr>
          <w:rFonts w:cs="Arial"/>
          <w:color w:val="FF0000"/>
          <w:szCs w:val="24"/>
          <w:lang w:val="ro-RO"/>
        </w:rPr>
        <w:t>Ingineri și specialiști pentru suportul grupului de lucru AEP</w:t>
      </w:r>
    </w:p>
    <w:p w:rsidR="00625C46" w:rsidRPr="00626846" w:rsidRDefault="00625C46" w:rsidP="00625C46">
      <w:pPr>
        <w:spacing w:after="120"/>
        <w:rPr>
          <w:rFonts w:cs="Arial"/>
          <w:b/>
          <w:color w:val="FF0000"/>
          <w:szCs w:val="24"/>
          <w:lang w:val="ro-RO"/>
        </w:rPr>
      </w:pPr>
      <w:r w:rsidRPr="00626846">
        <w:rPr>
          <w:rFonts w:cs="Arial"/>
          <w:b/>
          <w:color w:val="FF0000"/>
          <w:szCs w:val="24"/>
          <w:lang w:val="ro-RO"/>
        </w:rPr>
        <w:t>Apă Canal Călărași</w:t>
      </w:r>
    </w:p>
    <w:p w:rsidR="00625C46" w:rsidRPr="00626846" w:rsidRDefault="00625C46" w:rsidP="00625C46">
      <w:pPr>
        <w:pStyle w:val="aff5"/>
        <w:numPr>
          <w:ilvl w:val="0"/>
          <w:numId w:val="24"/>
        </w:numPr>
        <w:spacing w:before="0" w:after="120" w:line="240" w:lineRule="auto"/>
        <w:rPr>
          <w:rFonts w:cs="Arial"/>
          <w:color w:val="FF0000"/>
          <w:szCs w:val="24"/>
          <w:lang w:val="ro-RO"/>
        </w:rPr>
      </w:pPr>
      <w:r w:rsidRPr="00626846">
        <w:rPr>
          <w:rFonts w:cs="Arial"/>
          <w:color w:val="FF0000"/>
          <w:szCs w:val="24"/>
          <w:lang w:val="ro-RO"/>
        </w:rPr>
        <w:t>Persoană de legătură</w:t>
      </w:r>
    </w:p>
    <w:p w:rsidR="00625C46" w:rsidRPr="00626846" w:rsidRDefault="00625C46" w:rsidP="00625C46">
      <w:pPr>
        <w:pStyle w:val="aff5"/>
        <w:numPr>
          <w:ilvl w:val="0"/>
          <w:numId w:val="24"/>
        </w:numPr>
        <w:spacing w:before="0" w:after="120" w:line="240" w:lineRule="auto"/>
        <w:rPr>
          <w:rFonts w:cs="Arial"/>
          <w:color w:val="FF0000"/>
          <w:szCs w:val="24"/>
          <w:lang w:val="ro-RO"/>
        </w:rPr>
      </w:pPr>
      <w:r w:rsidRPr="00626846">
        <w:rPr>
          <w:rFonts w:cs="Arial"/>
          <w:color w:val="FF0000"/>
          <w:szCs w:val="24"/>
          <w:lang w:val="ro-RO"/>
        </w:rPr>
        <w:t>Ingineri și specialiști pentru suportul grupului de lucru AEP</w:t>
      </w:r>
    </w:p>
    <w:p w:rsidR="00625C46" w:rsidRPr="00A9116C" w:rsidRDefault="00625C46" w:rsidP="00625C46">
      <w:pPr>
        <w:spacing w:after="120" w:line="276" w:lineRule="auto"/>
        <w:rPr>
          <w:rFonts w:cs="Arial"/>
          <w:szCs w:val="22"/>
          <w:lang w:val="ro-RO"/>
        </w:rPr>
      </w:pPr>
      <w:r w:rsidRPr="00A9116C">
        <w:rPr>
          <w:rFonts w:cs="Arial"/>
          <w:szCs w:val="22"/>
          <w:lang w:val="ro-RO"/>
        </w:rPr>
        <w:t>Grupul de lucru AEP se înființează pe termen lung pentru a asigura o perspectivă durabilă a investițiilor preconizate. În cazul indisponibilității unui membru AEP, funcțiile acestuia în cadrul grupului de lucru AEP sunt preluate de către succesorul său legal, fără a întocmi careva documente suplimentare. Sarcinile grupului de lucru AEP pot fi clasificate după cum urmează:</w:t>
      </w:r>
    </w:p>
    <w:p w:rsidR="00625C46" w:rsidRPr="00A9116C" w:rsidRDefault="00625C46" w:rsidP="00625C46">
      <w:pPr>
        <w:pStyle w:val="aff5"/>
        <w:numPr>
          <w:ilvl w:val="0"/>
          <w:numId w:val="22"/>
        </w:numPr>
        <w:spacing w:line="276" w:lineRule="auto"/>
        <w:ind w:left="426" w:hanging="426"/>
        <w:rPr>
          <w:rFonts w:cs="Arial"/>
          <w:szCs w:val="24"/>
          <w:lang w:val="ro-RO"/>
        </w:rPr>
      </w:pPr>
      <w:r w:rsidRPr="00A9116C">
        <w:rPr>
          <w:rFonts w:cs="Arial"/>
          <w:b/>
          <w:szCs w:val="24"/>
          <w:lang w:val="ro-RO"/>
        </w:rPr>
        <w:t>Management general:</w:t>
      </w:r>
    </w:p>
    <w:p w:rsidR="00625C46" w:rsidRPr="00A9116C" w:rsidRDefault="00625C46" w:rsidP="00625C46">
      <w:pPr>
        <w:numPr>
          <w:ilvl w:val="0"/>
          <w:numId w:val="18"/>
        </w:numPr>
        <w:spacing w:before="0" w:after="0" w:line="276" w:lineRule="auto"/>
        <w:rPr>
          <w:rFonts w:cs="Arial"/>
          <w:szCs w:val="24"/>
          <w:lang w:val="ro-RO"/>
        </w:rPr>
      </w:pPr>
      <w:r w:rsidRPr="00A9116C">
        <w:rPr>
          <w:rFonts w:cs="Arial"/>
          <w:szCs w:val="24"/>
          <w:lang w:val="ro-RO"/>
        </w:rPr>
        <w:t>Planificarea pe termen scurt și lung;</w:t>
      </w:r>
    </w:p>
    <w:p w:rsidR="00625C46" w:rsidRPr="00A9116C" w:rsidRDefault="00625C46" w:rsidP="00625C46">
      <w:pPr>
        <w:numPr>
          <w:ilvl w:val="0"/>
          <w:numId w:val="18"/>
        </w:numPr>
        <w:spacing w:before="0" w:after="0" w:line="276" w:lineRule="auto"/>
        <w:rPr>
          <w:rFonts w:cs="Arial"/>
          <w:szCs w:val="24"/>
          <w:lang w:val="ro-RO"/>
        </w:rPr>
      </w:pPr>
      <w:r w:rsidRPr="00A9116C">
        <w:rPr>
          <w:rFonts w:cs="Arial"/>
          <w:szCs w:val="24"/>
          <w:lang w:val="ro-RO"/>
        </w:rPr>
        <w:t>Supravegherea activităților operaționale, inclusiv contracte pentru bunuri și servicii;</w:t>
      </w:r>
    </w:p>
    <w:p w:rsidR="00625C46" w:rsidRPr="00A9116C" w:rsidRDefault="00625C46" w:rsidP="00625C46">
      <w:pPr>
        <w:numPr>
          <w:ilvl w:val="0"/>
          <w:numId w:val="18"/>
        </w:numPr>
        <w:spacing w:before="0" w:after="0" w:line="276" w:lineRule="auto"/>
        <w:rPr>
          <w:rFonts w:cs="Arial"/>
          <w:szCs w:val="24"/>
          <w:lang w:val="ro-RO"/>
        </w:rPr>
      </w:pPr>
      <w:r w:rsidRPr="00A9116C">
        <w:rPr>
          <w:rFonts w:cs="Arial"/>
          <w:szCs w:val="24"/>
          <w:lang w:val="ro-RO"/>
        </w:rPr>
        <w:t>Coordonarea și gestionarea resurselor proprii și a consultanților;</w:t>
      </w:r>
    </w:p>
    <w:p w:rsidR="00625C46" w:rsidRPr="00A9116C" w:rsidRDefault="00625C46" w:rsidP="00625C46">
      <w:pPr>
        <w:numPr>
          <w:ilvl w:val="0"/>
          <w:numId w:val="18"/>
        </w:numPr>
        <w:spacing w:before="0" w:after="0" w:line="276" w:lineRule="auto"/>
        <w:rPr>
          <w:rFonts w:cs="Arial"/>
          <w:szCs w:val="24"/>
          <w:lang w:val="ro-RO"/>
        </w:rPr>
      </w:pPr>
      <w:r w:rsidRPr="00A9116C">
        <w:rPr>
          <w:rFonts w:cs="Arial"/>
          <w:szCs w:val="24"/>
          <w:lang w:val="ro-RO"/>
        </w:rPr>
        <w:t>Comunicare operațională cu părțile interesate și beneficiarii Programului (inclusiv campanii informative pentru populația din orașele Strășeni și Călărași pentru schimbarea sursei de apă);</w:t>
      </w:r>
    </w:p>
    <w:p w:rsidR="00625C46" w:rsidRPr="00A9116C" w:rsidRDefault="00625C46" w:rsidP="00625C46">
      <w:pPr>
        <w:numPr>
          <w:ilvl w:val="0"/>
          <w:numId w:val="18"/>
        </w:numPr>
        <w:spacing w:before="0" w:after="0" w:line="276" w:lineRule="auto"/>
        <w:rPr>
          <w:rFonts w:cs="Arial"/>
          <w:szCs w:val="24"/>
          <w:lang w:val="ro-RO"/>
        </w:rPr>
      </w:pPr>
      <w:r w:rsidRPr="00A9116C">
        <w:rPr>
          <w:rFonts w:cs="Arial"/>
          <w:szCs w:val="24"/>
          <w:lang w:val="ro-RO"/>
        </w:rPr>
        <w:t>Oferă asistență Comitetului de Conducere, împreună cu alte instituții și municipalități relevante.</w:t>
      </w:r>
    </w:p>
    <w:p w:rsidR="00625C46" w:rsidRPr="00A9116C" w:rsidRDefault="00625C46" w:rsidP="00625C46">
      <w:pPr>
        <w:numPr>
          <w:ilvl w:val="0"/>
          <w:numId w:val="18"/>
        </w:numPr>
        <w:spacing w:before="0" w:after="0" w:line="276" w:lineRule="auto"/>
        <w:rPr>
          <w:rFonts w:cs="Arial"/>
          <w:szCs w:val="24"/>
          <w:lang w:val="ro-RO"/>
        </w:rPr>
      </w:pPr>
      <w:r w:rsidRPr="00A9116C">
        <w:rPr>
          <w:rFonts w:cs="Arial"/>
          <w:szCs w:val="24"/>
          <w:lang w:val="ro-RO"/>
        </w:rPr>
        <w:t>Asigură traducerea documentelor relevante;</w:t>
      </w:r>
    </w:p>
    <w:p w:rsidR="00625C46" w:rsidRPr="00A9116C" w:rsidRDefault="00625C46" w:rsidP="00625C46">
      <w:pPr>
        <w:numPr>
          <w:ilvl w:val="0"/>
          <w:numId w:val="18"/>
        </w:numPr>
        <w:spacing w:before="0" w:after="0" w:line="276" w:lineRule="auto"/>
        <w:rPr>
          <w:rFonts w:cs="Arial"/>
          <w:szCs w:val="24"/>
          <w:lang w:val="ro-RO"/>
        </w:rPr>
      </w:pPr>
      <w:r w:rsidRPr="00A9116C">
        <w:rPr>
          <w:rFonts w:cs="Arial"/>
          <w:szCs w:val="24"/>
          <w:lang w:val="ro-RO"/>
        </w:rPr>
        <w:t>Oferă suport logistic (transport, organizarea de întâlniri).</w:t>
      </w:r>
    </w:p>
    <w:p w:rsidR="00625C46" w:rsidRPr="00A9116C" w:rsidRDefault="00625C46" w:rsidP="00625C46">
      <w:pPr>
        <w:spacing w:before="0" w:after="0" w:line="276" w:lineRule="auto"/>
        <w:ind w:left="714"/>
        <w:rPr>
          <w:rFonts w:cs="Arial"/>
          <w:szCs w:val="24"/>
          <w:lang w:val="ro-RO"/>
        </w:rPr>
      </w:pPr>
    </w:p>
    <w:p w:rsidR="00625C46" w:rsidRPr="00A9116C" w:rsidRDefault="00625C46" w:rsidP="00625C46">
      <w:pPr>
        <w:pStyle w:val="aff5"/>
        <w:numPr>
          <w:ilvl w:val="0"/>
          <w:numId w:val="22"/>
        </w:numPr>
        <w:spacing w:before="0" w:after="120" w:line="276" w:lineRule="auto"/>
        <w:ind w:left="426" w:hanging="426"/>
        <w:rPr>
          <w:rFonts w:cs="Arial"/>
          <w:b/>
          <w:szCs w:val="24"/>
          <w:lang w:val="ro-RO"/>
        </w:rPr>
      </w:pPr>
      <w:r w:rsidRPr="00A9116C">
        <w:rPr>
          <w:rFonts w:cs="Arial"/>
          <w:b/>
          <w:szCs w:val="24"/>
          <w:lang w:val="ro-RO"/>
        </w:rPr>
        <w:t>Management financiar</w:t>
      </w:r>
    </w:p>
    <w:p w:rsidR="00625C46" w:rsidRPr="00A9116C" w:rsidRDefault="00625C46" w:rsidP="00625C46">
      <w:pPr>
        <w:pStyle w:val="aff5"/>
        <w:numPr>
          <w:ilvl w:val="0"/>
          <w:numId w:val="19"/>
        </w:numPr>
        <w:spacing w:before="0" w:after="120" w:line="276" w:lineRule="auto"/>
        <w:rPr>
          <w:rFonts w:cs="Arial"/>
          <w:szCs w:val="24"/>
          <w:lang w:val="ro-RO"/>
        </w:rPr>
      </w:pPr>
      <w:r w:rsidRPr="00A9116C">
        <w:rPr>
          <w:rFonts w:cs="Arial"/>
          <w:szCs w:val="24"/>
          <w:lang w:val="ro-RO"/>
        </w:rPr>
        <w:t>Pregătirea cererilor de retragere / suplinire;</w:t>
      </w:r>
    </w:p>
    <w:p w:rsidR="00625C46" w:rsidRPr="00A9116C" w:rsidRDefault="00625C46" w:rsidP="00625C46">
      <w:pPr>
        <w:pStyle w:val="aff5"/>
        <w:numPr>
          <w:ilvl w:val="0"/>
          <w:numId w:val="19"/>
        </w:numPr>
        <w:spacing w:before="0" w:after="120" w:line="276" w:lineRule="auto"/>
        <w:rPr>
          <w:rFonts w:cs="Arial"/>
          <w:szCs w:val="24"/>
          <w:lang w:val="ro-RO"/>
        </w:rPr>
      </w:pPr>
      <w:r w:rsidRPr="00A9116C">
        <w:rPr>
          <w:rFonts w:cs="Arial"/>
          <w:szCs w:val="24"/>
          <w:lang w:val="ro-RO"/>
        </w:rPr>
        <w:t xml:space="preserve">Verificarea tuturor documentelor / certificatelor de plată. </w:t>
      </w:r>
    </w:p>
    <w:p w:rsidR="00625C46" w:rsidRPr="00A9116C" w:rsidRDefault="00625C46" w:rsidP="00625C46">
      <w:pPr>
        <w:pStyle w:val="aff5"/>
        <w:spacing w:before="0" w:after="120" w:line="276" w:lineRule="auto"/>
        <w:rPr>
          <w:rFonts w:cs="Arial"/>
          <w:szCs w:val="24"/>
          <w:lang w:val="ro-RO"/>
        </w:rPr>
      </w:pPr>
    </w:p>
    <w:p w:rsidR="00625C46" w:rsidRPr="00A9116C" w:rsidRDefault="00625C46" w:rsidP="00625C46">
      <w:pPr>
        <w:pStyle w:val="aff5"/>
        <w:numPr>
          <w:ilvl w:val="0"/>
          <w:numId w:val="22"/>
        </w:numPr>
        <w:spacing w:line="276" w:lineRule="auto"/>
        <w:ind w:left="426" w:hanging="426"/>
        <w:rPr>
          <w:rFonts w:cs="Arial"/>
          <w:szCs w:val="24"/>
          <w:lang w:val="ro-RO"/>
        </w:rPr>
      </w:pPr>
      <w:r w:rsidRPr="00A9116C">
        <w:rPr>
          <w:rFonts w:cs="Arial"/>
          <w:b/>
          <w:szCs w:val="24"/>
          <w:lang w:val="ro-RO"/>
        </w:rPr>
        <w:t>Achiziții și gestiunea contractelor:</w:t>
      </w:r>
    </w:p>
    <w:p w:rsidR="00625C46" w:rsidRPr="00A9116C" w:rsidRDefault="00625C46" w:rsidP="00625C46">
      <w:pPr>
        <w:numPr>
          <w:ilvl w:val="0"/>
          <w:numId w:val="20"/>
        </w:numPr>
        <w:spacing w:before="0" w:after="0" w:line="276" w:lineRule="auto"/>
        <w:rPr>
          <w:rFonts w:cs="Arial"/>
          <w:szCs w:val="24"/>
          <w:lang w:val="ro-RO"/>
        </w:rPr>
      </w:pPr>
      <w:r w:rsidRPr="00A9116C">
        <w:rPr>
          <w:rFonts w:cs="Arial"/>
          <w:szCs w:val="24"/>
          <w:lang w:val="ro-RO"/>
        </w:rPr>
        <w:t>Managementul tuturor procedurilor de achiziții;</w:t>
      </w:r>
    </w:p>
    <w:p w:rsidR="00625C46" w:rsidRPr="00A9116C" w:rsidRDefault="00625C46" w:rsidP="00625C46">
      <w:pPr>
        <w:numPr>
          <w:ilvl w:val="0"/>
          <w:numId w:val="20"/>
        </w:numPr>
        <w:spacing w:before="0" w:after="0" w:line="276" w:lineRule="auto"/>
        <w:rPr>
          <w:rFonts w:cs="Arial"/>
          <w:szCs w:val="24"/>
          <w:lang w:val="ro-RO"/>
        </w:rPr>
      </w:pPr>
      <w:r w:rsidRPr="00A9116C">
        <w:rPr>
          <w:rFonts w:cs="Arial"/>
          <w:szCs w:val="24"/>
          <w:lang w:val="ro-RO"/>
        </w:rPr>
        <w:t>Coordonarea activităților, pregătirea, validarea și actualizarea Planului de achiziții;</w:t>
      </w:r>
    </w:p>
    <w:p w:rsidR="00625C46" w:rsidRPr="00A9116C" w:rsidRDefault="00625C46" w:rsidP="00625C46">
      <w:pPr>
        <w:numPr>
          <w:ilvl w:val="0"/>
          <w:numId w:val="20"/>
        </w:numPr>
        <w:spacing w:before="0" w:after="0" w:line="276" w:lineRule="auto"/>
        <w:rPr>
          <w:rFonts w:cs="Arial"/>
          <w:szCs w:val="24"/>
          <w:lang w:val="ro-RO"/>
        </w:rPr>
      </w:pPr>
      <w:r w:rsidRPr="00A9116C">
        <w:rPr>
          <w:rFonts w:cs="Arial"/>
          <w:szCs w:val="24"/>
          <w:lang w:val="ro-RO"/>
        </w:rPr>
        <w:t>Pregătirea și verificarea documentelor de licitație (specificații tehnice, machete…);</w:t>
      </w:r>
    </w:p>
    <w:p w:rsidR="00625C46" w:rsidRPr="00A9116C" w:rsidRDefault="00625C46" w:rsidP="00625C46">
      <w:pPr>
        <w:numPr>
          <w:ilvl w:val="0"/>
          <w:numId w:val="20"/>
        </w:numPr>
        <w:spacing w:before="0" w:after="0" w:line="276" w:lineRule="auto"/>
        <w:rPr>
          <w:rFonts w:cs="Arial"/>
          <w:szCs w:val="24"/>
          <w:lang w:val="ro-RO"/>
        </w:rPr>
      </w:pPr>
      <w:r w:rsidRPr="00A9116C">
        <w:rPr>
          <w:rFonts w:cs="Arial"/>
          <w:szCs w:val="24"/>
          <w:lang w:val="ro-RO"/>
        </w:rPr>
        <w:t>Evaluarea ofertelor;</w:t>
      </w:r>
    </w:p>
    <w:p w:rsidR="00625C46" w:rsidRPr="00A9116C" w:rsidRDefault="00625C46" w:rsidP="00625C46">
      <w:pPr>
        <w:numPr>
          <w:ilvl w:val="0"/>
          <w:numId w:val="20"/>
        </w:numPr>
        <w:spacing w:before="0" w:after="0" w:line="276" w:lineRule="auto"/>
        <w:rPr>
          <w:rFonts w:cs="Arial"/>
          <w:szCs w:val="24"/>
          <w:lang w:val="ro-RO"/>
        </w:rPr>
      </w:pPr>
      <w:r w:rsidRPr="00A9116C">
        <w:rPr>
          <w:rFonts w:cs="Arial"/>
          <w:szCs w:val="24"/>
          <w:lang w:val="ro-RO"/>
        </w:rPr>
        <w:t>Pregătirea documentelor contractuale.</w:t>
      </w:r>
    </w:p>
    <w:p w:rsidR="00625C46" w:rsidRPr="00A9116C" w:rsidRDefault="00625C46" w:rsidP="00625C46">
      <w:pPr>
        <w:pStyle w:val="aff5"/>
        <w:numPr>
          <w:ilvl w:val="0"/>
          <w:numId w:val="22"/>
        </w:numPr>
        <w:spacing w:line="276" w:lineRule="auto"/>
        <w:ind w:left="426" w:hanging="426"/>
        <w:rPr>
          <w:rFonts w:cs="Arial"/>
          <w:b/>
          <w:szCs w:val="24"/>
          <w:lang w:val="ro-RO"/>
        </w:rPr>
      </w:pPr>
      <w:r w:rsidRPr="00A9116C">
        <w:rPr>
          <w:rFonts w:cs="Arial"/>
          <w:b/>
          <w:szCs w:val="24"/>
          <w:lang w:val="ro-RO"/>
        </w:rPr>
        <w:t xml:space="preserve">Monitorizare și raportare: </w:t>
      </w:r>
    </w:p>
    <w:p w:rsidR="00625C46" w:rsidRPr="00A9116C" w:rsidRDefault="00625C46" w:rsidP="00625C46">
      <w:pPr>
        <w:numPr>
          <w:ilvl w:val="0"/>
          <w:numId w:val="21"/>
        </w:numPr>
        <w:spacing w:before="0" w:after="0" w:line="276" w:lineRule="auto"/>
        <w:rPr>
          <w:rFonts w:cs="Arial"/>
          <w:szCs w:val="24"/>
          <w:lang w:val="ro-RO"/>
        </w:rPr>
      </w:pPr>
      <w:r w:rsidRPr="00A9116C">
        <w:rPr>
          <w:rFonts w:cs="Arial"/>
          <w:szCs w:val="24"/>
          <w:lang w:val="ro-RO"/>
        </w:rPr>
        <w:t>Rapoarte lunare privind evoluția implementării Proiectului;</w:t>
      </w:r>
    </w:p>
    <w:p w:rsidR="00625C46" w:rsidRPr="00A9116C" w:rsidRDefault="00625C46" w:rsidP="00625C46">
      <w:pPr>
        <w:numPr>
          <w:ilvl w:val="0"/>
          <w:numId w:val="21"/>
        </w:numPr>
        <w:spacing w:before="0" w:after="0" w:line="276" w:lineRule="auto"/>
        <w:rPr>
          <w:rFonts w:cs="Arial"/>
          <w:szCs w:val="24"/>
          <w:lang w:val="ro-RO"/>
        </w:rPr>
      </w:pPr>
      <w:r w:rsidRPr="00A9116C">
        <w:rPr>
          <w:rFonts w:cs="Arial"/>
          <w:szCs w:val="24"/>
          <w:lang w:val="ro-RO"/>
        </w:rPr>
        <w:t>Rapoarte trimestriale privind implementarea Proiectului, realizarea indicatorilor stabiliți și riscurile aferente Proiectului, ca urmare a includerii ESIA, OSH, riscului climateric etc.</w:t>
      </w:r>
    </w:p>
    <w:p w:rsidR="00625C46" w:rsidRPr="00A9116C" w:rsidRDefault="00625C46" w:rsidP="00625C46">
      <w:pPr>
        <w:numPr>
          <w:ilvl w:val="0"/>
          <w:numId w:val="21"/>
        </w:numPr>
        <w:spacing w:before="0" w:after="0" w:line="276" w:lineRule="auto"/>
        <w:rPr>
          <w:rFonts w:cs="Arial"/>
          <w:szCs w:val="24"/>
          <w:lang w:val="ro-RO"/>
        </w:rPr>
      </w:pPr>
      <w:r w:rsidRPr="00A9116C">
        <w:rPr>
          <w:rFonts w:cs="Arial"/>
          <w:szCs w:val="24"/>
          <w:lang w:val="ro-RO"/>
        </w:rPr>
        <w:t>Rapoarte anuale privind implementarea Proiectului, realizarea indicatorilor stabiliți și riscurile aferente Proiectului, ca urmare a includerii ESIA, OSH, riscului climateric etc.</w:t>
      </w:r>
    </w:p>
    <w:p w:rsidR="00625C46" w:rsidRPr="00A9116C" w:rsidRDefault="00625C46" w:rsidP="00625C46">
      <w:pPr>
        <w:spacing w:after="120" w:line="320" w:lineRule="atLeast"/>
        <w:rPr>
          <w:rFonts w:cs="Arial"/>
          <w:szCs w:val="22"/>
          <w:lang w:val="ro-RO"/>
        </w:rPr>
      </w:pPr>
      <w:r w:rsidRPr="00A9116C">
        <w:rPr>
          <w:rFonts w:cs="Arial"/>
          <w:szCs w:val="22"/>
          <w:lang w:val="ro-RO"/>
        </w:rPr>
        <w:lastRenderedPageBreak/>
        <w:t>Pentru a asigura că sinergiile pot fi atinse și numeroasele instituții-cheie implicate în sector sunt capabile să</w:t>
      </w:r>
      <w:r w:rsidR="00AF37C4" w:rsidRPr="00A9116C">
        <w:rPr>
          <w:rFonts w:cs="Arial"/>
          <w:szCs w:val="22"/>
          <w:lang w:val="ro-RO"/>
        </w:rPr>
        <w:t>-și</w:t>
      </w:r>
      <w:r w:rsidRPr="00A9116C">
        <w:rPr>
          <w:rFonts w:cs="Arial"/>
          <w:szCs w:val="22"/>
          <w:lang w:val="ro-RO"/>
        </w:rPr>
        <w:t xml:space="preserve"> coord</w:t>
      </w:r>
      <w:r w:rsidR="00AF37C4" w:rsidRPr="00A9116C">
        <w:rPr>
          <w:rFonts w:cs="Arial"/>
          <w:szCs w:val="22"/>
          <w:lang w:val="ro-RO"/>
        </w:rPr>
        <w:t>ineze activitățile</w:t>
      </w:r>
      <w:r w:rsidRPr="00A9116C">
        <w:rPr>
          <w:rFonts w:cs="Arial"/>
          <w:szCs w:val="22"/>
          <w:lang w:val="ro-RO"/>
        </w:rPr>
        <w:t xml:space="preserve"> în mod corespunzător, trebuie înființat un </w:t>
      </w:r>
      <w:r w:rsidRPr="00A9116C">
        <w:rPr>
          <w:rFonts w:cs="Arial"/>
          <w:szCs w:val="22"/>
          <w:u w:val="single"/>
          <w:lang w:val="ro-RO"/>
        </w:rPr>
        <w:t>Comitet de Conducere</w:t>
      </w:r>
      <w:r w:rsidRPr="00A9116C">
        <w:rPr>
          <w:rFonts w:cs="Arial"/>
          <w:szCs w:val="22"/>
          <w:lang w:val="ro-RO"/>
        </w:rPr>
        <w:t xml:space="preserve"> format din principalele persoane interesate și finanțatori. În timp ce grupul de lucru AEP va fi în totalitate responsabil pentru luarea deciziilor și implementarea proiectelor, obiectivul Comitetului de Conducere va fi acela de a ghida implementarea și coordonarea corespunzătoare a principalelor părți interesate, realizarea sinergiilor și reducerea suprapunerilor. Comitetul de Conducere se convoacă cel puțin o dată în trimestru.</w:t>
      </w:r>
    </w:p>
    <w:p w:rsidR="00625C46" w:rsidRPr="00A9116C" w:rsidRDefault="00625C46" w:rsidP="00625C46">
      <w:pPr>
        <w:rPr>
          <w:rFonts w:cs="Arial"/>
          <w:szCs w:val="24"/>
          <w:lang w:val="ro-RO"/>
        </w:rPr>
      </w:pPr>
      <w:r w:rsidRPr="00A9116C">
        <w:rPr>
          <w:rFonts w:cs="Arial"/>
          <w:szCs w:val="24"/>
          <w:lang w:val="ro-RO"/>
        </w:rPr>
        <w:t>Comitetul de Conducere a fost înființat în iulie 2019, fiind format din reprezentanți ai următoarelor instituții:</w:t>
      </w:r>
    </w:p>
    <w:p w:rsidR="00625C46" w:rsidRPr="00A9116C" w:rsidRDefault="00625C46" w:rsidP="00625C46">
      <w:pPr>
        <w:numPr>
          <w:ilvl w:val="0"/>
          <w:numId w:val="25"/>
        </w:numPr>
        <w:spacing w:before="0" w:after="0" w:line="276" w:lineRule="auto"/>
        <w:rPr>
          <w:rFonts w:cs="Arial"/>
          <w:szCs w:val="24"/>
          <w:lang w:val="ro-RO"/>
        </w:rPr>
      </w:pPr>
      <w:r w:rsidRPr="00A9116C">
        <w:rPr>
          <w:rFonts w:cs="Arial"/>
          <w:szCs w:val="24"/>
          <w:lang w:val="ro-RO"/>
        </w:rPr>
        <w:t>Ministerul Agriculturii, Dezvoltării Regionale și Mediului (MADRM)</w:t>
      </w:r>
    </w:p>
    <w:p w:rsidR="00625C46" w:rsidRPr="00A9116C" w:rsidRDefault="00625C46" w:rsidP="00625C46">
      <w:pPr>
        <w:numPr>
          <w:ilvl w:val="0"/>
          <w:numId w:val="25"/>
        </w:numPr>
        <w:spacing w:before="0" w:after="0" w:line="276" w:lineRule="auto"/>
        <w:rPr>
          <w:rFonts w:cs="Arial"/>
          <w:szCs w:val="24"/>
          <w:lang w:val="ro-RO"/>
        </w:rPr>
      </w:pPr>
      <w:r w:rsidRPr="00A9116C">
        <w:rPr>
          <w:rFonts w:cs="Arial"/>
          <w:szCs w:val="24"/>
          <w:lang w:val="ro-RO"/>
        </w:rPr>
        <w:t xml:space="preserve">Ministerul Finanțelor </w:t>
      </w:r>
    </w:p>
    <w:p w:rsidR="00625C46" w:rsidRPr="00A9116C" w:rsidRDefault="00625C46" w:rsidP="00625C46">
      <w:pPr>
        <w:numPr>
          <w:ilvl w:val="0"/>
          <w:numId w:val="25"/>
        </w:numPr>
        <w:spacing w:before="0" w:after="0" w:line="276" w:lineRule="auto"/>
        <w:rPr>
          <w:rFonts w:cs="Arial"/>
          <w:szCs w:val="24"/>
          <w:lang w:val="ro-RO"/>
        </w:rPr>
      </w:pPr>
      <w:r w:rsidRPr="00A9116C">
        <w:rPr>
          <w:rFonts w:cs="Arial"/>
          <w:szCs w:val="24"/>
          <w:lang w:val="ro-RO"/>
        </w:rPr>
        <w:t>ADR Centru (Secretar)</w:t>
      </w:r>
    </w:p>
    <w:p w:rsidR="00625C46" w:rsidRPr="00A9116C" w:rsidRDefault="00625C46" w:rsidP="00625C46">
      <w:pPr>
        <w:numPr>
          <w:ilvl w:val="0"/>
          <w:numId w:val="25"/>
        </w:numPr>
        <w:spacing w:before="0" w:after="0" w:line="276" w:lineRule="auto"/>
        <w:rPr>
          <w:rFonts w:cs="Arial"/>
          <w:szCs w:val="24"/>
          <w:lang w:val="ro-RO"/>
        </w:rPr>
      </w:pPr>
      <w:r w:rsidRPr="00A9116C">
        <w:rPr>
          <w:rFonts w:cs="Arial"/>
          <w:szCs w:val="24"/>
          <w:lang w:val="ro-RO"/>
        </w:rPr>
        <w:t>Apă Canal Chișinău</w:t>
      </w:r>
    </w:p>
    <w:p w:rsidR="00625C46" w:rsidRPr="00A9116C" w:rsidRDefault="00625C46" w:rsidP="00625C46">
      <w:pPr>
        <w:numPr>
          <w:ilvl w:val="0"/>
          <w:numId w:val="25"/>
        </w:numPr>
        <w:spacing w:before="0" w:after="0" w:line="276" w:lineRule="auto"/>
        <w:rPr>
          <w:rFonts w:cs="Arial"/>
          <w:szCs w:val="24"/>
          <w:lang w:val="ro-RO"/>
        </w:rPr>
      </w:pPr>
      <w:r w:rsidRPr="00A9116C">
        <w:rPr>
          <w:rFonts w:cs="Arial"/>
          <w:szCs w:val="24"/>
          <w:lang w:val="ro-RO"/>
        </w:rPr>
        <w:t>Primăriile Strășeni și Călărași (co-Președinți)</w:t>
      </w:r>
    </w:p>
    <w:p w:rsidR="00625C46" w:rsidRPr="00A9116C" w:rsidRDefault="00625C46" w:rsidP="00625C46">
      <w:pPr>
        <w:numPr>
          <w:ilvl w:val="0"/>
          <w:numId w:val="25"/>
        </w:numPr>
        <w:spacing w:before="0" w:after="0" w:line="276" w:lineRule="auto"/>
        <w:rPr>
          <w:rFonts w:cs="Arial"/>
          <w:szCs w:val="24"/>
          <w:lang w:val="ro-RO"/>
        </w:rPr>
      </w:pPr>
      <w:r w:rsidRPr="00A9116C">
        <w:rPr>
          <w:rFonts w:cs="Arial"/>
          <w:szCs w:val="24"/>
          <w:lang w:val="ro-RO"/>
        </w:rPr>
        <w:t xml:space="preserve">Serviciile de Apă ale orașelor Strășeni și Călărași </w:t>
      </w:r>
    </w:p>
    <w:p w:rsidR="00625C46" w:rsidRPr="00A9116C" w:rsidRDefault="00625C46" w:rsidP="00625C46">
      <w:pPr>
        <w:numPr>
          <w:ilvl w:val="0"/>
          <w:numId w:val="25"/>
        </w:numPr>
        <w:spacing w:before="0" w:after="0" w:line="276" w:lineRule="auto"/>
        <w:rPr>
          <w:rFonts w:cs="Arial"/>
          <w:szCs w:val="24"/>
          <w:lang w:val="ro-RO"/>
        </w:rPr>
      </w:pPr>
      <w:r w:rsidRPr="00A9116C">
        <w:rPr>
          <w:rFonts w:cs="Arial"/>
          <w:szCs w:val="24"/>
          <w:lang w:val="ro-RO"/>
        </w:rPr>
        <w:t>Consiliile raionale Strășeni și Călărași</w:t>
      </w:r>
    </w:p>
    <w:p w:rsidR="00625C46" w:rsidRPr="00A9116C" w:rsidRDefault="00625C46" w:rsidP="00625C46">
      <w:pPr>
        <w:numPr>
          <w:ilvl w:val="0"/>
          <w:numId w:val="25"/>
        </w:numPr>
        <w:spacing w:before="0" w:after="0" w:line="276" w:lineRule="auto"/>
        <w:rPr>
          <w:rFonts w:cs="Arial"/>
          <w:szCs w:val="24"/>
          <w:lang w:val="ro-RO"/>
        </w:rPr>
      </w:pPr>
      <w:r w:rsidRPr="00A9116C">
        <w:rPr>
          <w:rStyle w:val="tlid-translation"/>
          <w:lang w:val="ro-RO"/>
        </w:rPr>
        <w:t>Observatori din partea societății civile și organizațiilor donatoare (KfW, GIZ și altele prin invitație)</w:t>
      </w:r>
    </w:p>
    <w:p w:rsidR="00625C46" w:rsidRPr="00A9116C" w:rsidRDefault="00625C46" w:rsidP="00625C46">
      <w:pPr>
        <w:rPr>
          <w:lang w:val="ro-RO" w:eastAsia="de-DE"/>
        </w:rPr>
      </w:pPr>
      <w:r w:rsidRPr="00A9116C">
        <w:rPr>
          <w:lang w:val="ro-RO" w:eastAsia="de-DE"/>
        </w:rPr>
        <w:t>Comitetul de Conducere a Proiectului este co-prezidat de cele două municipalități. ADR Centru acționează în calitate de secretar al Comitetului, iar MADRM asigură monitorizarea Proiectului. Numirea membrilor se face de către șeful instituției membre prin notificarea trimisă primăriilor Strășeni și Călărași. Înlocuirea membrilor se face de către șeful instituției / organizației partenere prezentată Comitetului printr-o notificare trimisă secretariatului CC.</w:t>
      </w:r>
    </w:p>
    <w:p w:rsidR="00625C46" w:rsidRPr="00A9116C" w:rsidRDefault="00625C46" w:rsidP="00625C46">
      <w:pPr>
        <w:pStyle w:val="4"/>
        <w:ind w:left="0" w:firstLine="0"/>
        <w:rPr>
          <w:lang w:val="ro-RO" w:eastAsia="de-DE"/>
        </w:rPr>
      </w:pPr>
      <w:r w:rsidRPr="00A9116C">
        <w:rPr>
          <w:lang w:val="ro-RO" w:eastAsia="de-DE"/>
        </w:rPr>
        <w:t>Agenția de Executare a Proiectului angajează un consultant pentru a sprijini Agenția de Executare a Proiectului pe parcursul implementării Proiectului (</w:t>
      </w:r>
      <w:r w:rsidR="002617A5" w:rsidRPr="00A9116C">
        <w:rPr>
          <w:u w:val="single"/>
          <w:lang w:val="ro-RO" w:eastAsia="de-DE"/>
        </w:rPr>
        <w:t>„Consultant de I</w:t>
      </w:r>
      <w:r w:rsidRPr="00A9116C">
        <w:rPr>
          <w:u w:val="single"/>
          <w:lang w:val="ro-RO" w:eastAsia="de-DE"/>
        </w:rPr>
        <w:t>mplementare”</w:t>
      </w:r>
      <w:r w:rsidRPr="00A9116C">
        <w:rPr>
          <w:lang w:val="ro-RO" w:eastAsia="de-DE"/>
        </w:rPr>
        <w:t>). Consultantul de implementare acordă suport Agenției de Executare a Proiectului în</w:t>
      </w:r>
    </w:p>
    <w:p w:rsidR="00625C46" w:rsidRPr="00A9116C" w:rsidRDefault="00625C46" w:rsidP="00625C46">
      <w:pPr>
        <w:ind w:firstLine="851"/>
        <w:rPr>
          <w:rFonts w:cs="Arial"/>
          <w:szCs w:val="22"/>
          <w:lang w:val="ro-RO" w:eastAsia="de-DE"/>
        </w:rPr>
      </w:pPr>
      <w:r w:rsidRPr="00A9116C">
        <w:rPr>
          <w:rFonts w:cs="Arial"/>
          <w:szCs w:val="22"/>
          <w:lang w:val="ro-RO" w:eastAsia="de-DE"/>
        </w:rPr>
        <w:t>(i) elaborarea detaliilor schiței Proiectului (proiect detaliat);</w:t>
      </w:r>
    </w:p>
    <w:p w:rsidR="00625C46" w:rsidRPr="00A9116C" w:rsidRDefault="00625C46" w:rsidP="00625C46">
      <w:pPr>
        <w:ind w:left="851"/>
        <w:rPr>
          <w:rFonts w:cs="Arial"/>
          <w:szCs w:val="22"/>
          <w:lang w:val="ro-RO" w:eastAsia="de-DE"/>
        </w:rPr>
      </w:pPr>
      <w:r w:rsidRPr="00A9116C">
        <w:rPr>
          <w:rFonts w:cs="Arial"/>
          <w:szCs w:val="22"/>
          <w:lang w:val="ro-RO" w:eastAsia="de-DE"/>
        </w:rPr>
        <w:t>(ii) proiectarea și implementarea procesului de licitație (după cum este definit în „Ghidul privind achiziția serviciilor de consultanță, lucrărilor, instalațiilor, bunurilor și altor servicii în afara celor de consultanță în domeniul cooperării financiare cu țările partenere” prezentat în Anexa 5 („Ghid privind achizițiile”)) în conformitate cu (i) Ghidul privind achizițiile și (ii) standardele de mediu și sociale, după cum se prevede în Secțiunea 2.2; și</w:t>
      </w:r>
    </w:p>
    <w:p w:rsidR="00625C46" w:rsidRPr="00A9116C" w:rsidRDefault="00625C46" w:rsidP="00625C46">
      <w:pPr>
        <w:ind w:firstLine="851"/>
        <w:rPr>
          <w:rFonts w:cs="Arial"/>
          <w:szCs w:val="22"/>
          <w:lang w:val="ro-RO" w:eastAsia="de-DE"/>
        </w:rPr>
      </w:pPr>
      <w:r w:rsidRPr="00A9116C">
        <w:rPr>
          <w:rFonts w:cs="Arial"/>
          <w:szCs w:val="22"/>
          <w:lang w:val="ro-RO" w:eastAsia="de-DE"/>
        </w:rPr>
        <w:t>(iii) Suport în supravegherea construcțiilor și a șantierului;</w:t>
      </w:r>
    </w:p>
    <w:p w:rsidR="00625C46" w:rsidRPr="00A9116C" w:rsidRDefault="00625C46" w:rsidP="00625C46">
      <w:pPr>
        <w:ind w:firstLine="851"/>
        <w:rPr>
          <w:rFonts w:cs="Arial"/>
          <w:szCs w:val="22"/>
          <w:lang w:val="ro-RO" w:eastAsia="de-DE"/>
        </w:rPr>
      </w:pPr>
      <w:r w:rsidRPr="00A9116C">
        <w:rPr>
          <w:rFonts w:cs="Arial"/>
          <w:szCs w:val="22"/>
          <w:lang w:val="ro-RO" w:eastAsia="de-DE"/>
        </w:rPr>
        <w:t>(iv) Suport în gestionarea debursărilor;</w:t>
      </w:r>
    </w:p>
    <w:p w:rsidR="00625C46" w:rsidRPr="00A9116C" w:rsidRDefault="00625C46" w:rsidP="00625C46">
      <w:pPr>
        <w:ind w:left="851"/>
        <w:rPr>
          <w:rFonts w:cs="Arial"/>
          <w:szCs w:val="22"/>
          <w:lang w:val="ro-RO" w:eastAsia="de-DE"/>
        </w:rPr>
      </w:pPr>
      <w:r w:rsidRPr="00A9116C">
        <w:rPr>
          <w:rFonts w:cs="Arial"/>
          <w:szCs w:val="22"/>
          <w:lang w:val="ro-RO" w:eastAsia="de-DE"/>
        </w:rPr>
        <w:lastRenderedPageBreak/>
        <w:t>(v) Asistență în monitorizarea Evaluării Impactului Social și de Mediu (ESIA), inclusiv actualizarea planului de implicare a părților interesate și a procedurilor de soluționare a reclamațiilor</w:t>
      </w:r>
    </w:p>
    <w:p w:rsidR="00625C46" w:rsidRPr="00A9116C" w:rsidRDefault="00625C46" w:rsidP="00625C46">
      <w:pPr>
        <w:ind w:left="851"/>
        <w:rPr>
          <w:rFonts w:cs="Arial"/>
          <w:szCs w:val="22"/>
          <w:lang w:val="ro-RO" w:eastAsia="de-DE"/>
        </w:rPr>
      </w:pPr>
      <w:r w:rsidRPr="00A9116C">
        <w:rPr>
          <w:rFonts w:cs="Arial"/>
          <w:szCs w:val="22"/>
          <w:lang w:val="ro-RO" w:eastAsia="de-DE"/>
        </w:rPr>
        <w:t>(vi) Suport pentru asigurarea celor mai înalte standarde de sănătate și securitate în muncă (SSM) și planurilor de gestiune a forței de muncă în AEP și în activitățile de construcție;</w:t>
      </w:r>
    </w:p>
    <w:p w:rsidR="00625C46" w:rsidRPr="00A9116C" w:rsidRDefault="00625C46" w:rsidP="00625C46">
      <w:pPr>
        <w:ind w:firstLine="851"/>
        <w:rPr>
          <w:rFonts w:cs="Arial"/>
          <w:szCs w:val="22"/>
          <w:lang w:val="ro-RO" w:eastAsia="de-DE"/>
        </w:rPr>
      </w:pPr>
      <w:r w:rsidRPr="00A9116C">
        <w:rPr>
          <w:rFonts w:cs="Arial"/>
          <w:szCs w:val="22"/>
          <w:lang w:val="ro-RO" w:eastAsia="de-DE"/>
        </w:rPr>
        <w:t>(vii) Asistență în raportarea în limbile engleză și română;</w:t>
      </w:r>
    </w:p>
    <w:p w:rsidR="00625C46" w:rsidRPr="00A9116C" w:rsidRDefault="00625C46" w:rsidP="00625C46">
      <w:pPr>
        <w:ind w:firstLine="851"/>
        <w:rPr>
          <w:rFonts w:cs="Arial"/>
          <w:szCs w:val="22"/>
          <w:lang w:val="ro-RO" w:eastAsia="de-DE"/>
        </w:rPr>
      </w:pPr>
      <w:r w:rsidRPr="00A9116C">
        <w:rPr>
          <w:rFonts w:cs="Arial"/>
          <w:szCs w:val="22"/>
          <w:lang w:val="ro-RO" w:eastAsia="de-DE"/>
        </w:rPr>
        <w:t>(viii) Suport logistic pentru misiunile KfW (transport, traducere);</w:t>
      </w:r>
    </w:p>
    <w:p w:rsidR="00625C46" w:rsidRPr="00A9116C" w:rsidRDefault="00625C46" w:rsidP="00625C46">
      <w:pPr>
        <w:ind w:firstLine="851"/>
        <w:rPr>
          <w:rFonts w:cs="Arial"/>
          <w:szCs w:val="22"/>
          <w:lang w:val="ro-RO" w:eastAsia="de-DE"/>
        </w:rPr>
      </w:pPr>
      <w:r w:rsidRPr="00A9116C">
        <w:rPr>
          <w:rFonts w:cs="Arial"/>
          <w:szCs w:val="22"/>
          <w:lang w:val="ro-RO" w:eastAsia="de-DE"/>
        </w:rPr>
        <w:t>(ix) Campanii de comunicare și vizibilitate;</w:t>
      </w:r>
    </w:p>
    <w:p w:rsidR="00625C46" w:rsidRPr="00A9116C" w:rsidRDefault="00625C46" w:rsidP="00625C46">
      <w:pPr>
        <w:ind w:firstLine="851"/>
        <w:rPr>
          <w:rFonts w:cs="Arial"/>
          <w:szCs w:val="22"/>
          <w:lang w:val="ro-RO" w:eastAsia="de-DE"/>
        </w:rPr>
      </w:pPr>
      <w:r w:rsidRPr="00A9116C">
        <w:rPr>
          <w:rFonts w:cs="Arial"/>
          <w:szCs w:val="22"/>
          <w:lang w:val="ro-RO" w:eastAsia="de-DE"/>
        </w:rPr>
        <w:t>(x) Sprijin în alte aspect</w:t>
      </w:r>
      <w:r w:rsidR="001F5C95" w:rsidRPr="00A9116C">
        <w:rPr>
          <w:rFonts w:cs="Arial"/>
          <w:szCs w:val="22"/>
          <w:lang w:val="ro-RO" w:eastAsia="de-DE"/>
        </w:rPr>
        <w:t>e</w:t>
      </w:r>
      <w:r w:rsidRPr="00A9116C">
        <w:rPr>
          <w:rFonts w:cs="Arial"/>
          <w:szCs w:val="22"/>
          <w:lang w:val="ro-RO" w:eastAsia="de-DE"/>
        </w:rPr>
        <w:t xml:space="preserve"> ale implementării Proiectului.</w:t>
      </w:r>
    </w:p>
    <w:p w:rsidR="00625C46" w:rsidRPr="00A9116C" w:rsidRDefault="00625C46" w:rsidP="00625C46">
      <w:pPr>
        <w:rPr>
          <w:lang w:val="ro-RO"/>
        </w:rPr>
      </w:pPr>
      <w:r w:rsidRPr="00A9116C">
        <w:rPr>
          <w:rFonts w:cs="Arial"/>
          <w:szCs w:val="22"/>
          <w:lang w:val="ro-RO" w:eastAsia="de-DE"/>
        </w:rPr>
        <w:t>Supravegherea implementării Planului de monitorizare și gestionare de mediu și socială (PMGMS), a PMGMS în construcții și a Planului de gestionare a forței de muncă (PGFM) și a altor planuri de mediu și sociale este efectuată de Consultantul de implementare. Consultantul de implementare angajează experți în domeniul sănătății și securității în muncă, mediului și social. AEP verifică dacă clauzele relevante sunt incluse în Condiția ofertelor (CoT) și Termenii de referință (ToR) pentru a asigura că garanțiile de mediu, sănătate și siguranță în muncă și sociale sunt incluse în documentele contractuale și de licitație.</w:t>
      </w:r>
    </w:p>
    <w:p w:rsidR="00625C46" w:rsidRPr="00A9116C" w:rsidRDefault="00625C46" w:rsidP="00625C46">
      <w:pPr>
        <w:pStyle w:val="4"/>
        <w:ind w:left="0" w:firstLine="0"/>
        <w:rPr>
          <w:lang w:val="ro-RO"/>
        </w:rPr>
      </w:pPr>
      <w:r w:rsidRPr="00A9116C">
        <w:rPr>
          <w:lang w:val="ro-RO"/>
        </w:rPr>
        <w:t>Înainte de încheierea unui contract privind serviciile de consultanță, KfW primește pentru examinare proiectul contractului, după cum s-a convenit în prealabil, avizat în mod corespunzător de consultant. Același lucru este valabil pentru orice acorduri ulterioare de modificare sau completare.</w:t>
      </w:r>
    </w:p>
    <w:p w:rsidR="00625C46" w:rsidRPr="00A9116C" w:rsidRDefault="00625C46" w:rsidP="00625C46">
      <w:pPr>
        <w:pStyle w:val="4"/>
        <w:ind w:left="0" w:firstLine="0"/>
        <w:rPr>
          <w:lang w:val="ro-RO"/>
        </w:rPr>
      </w:pPr>
      <w:r w:rsidRPr="00A9116C">
        <w:rPr>
          <w:lang w:val="ro-RO"/>
        </w:rPr>
        <w:t>Un ofițer de licitație asistă ADR Centru la selectarea consultantului și atribuirea contractului. Acest ofițer de licitație este finanțat dintr-un fond special furnizat în acest scop de Ministerul Federal German pentru Cooperare Economică și Dezvoltare.</w:t>
      </w:r>
    </w:p>
    <w:p w:rsidR="00625C46" w:rsidRPr="00A9116C" w:rsidRDefault="00625C46" w:rsidP="00625C46">
      <w:pPr>
        <w:pStyle w:val="4"/>
        <w:ind w:left="0" w:firstLine="0"/>
        <w:rPr>
          <w:lang w:val="ro-RO" w:eastAsia="de-DE"/>
        </w:rPr>
      </w:pPr>
      <w:r w:rsidRPr="00A9116C">
        <w:rPr>
          <w:lang w:val="ro-RO"/>
        </w:rPr>
        <w:t xml:space="preserve">Graficul detaliat privind timpul, costul și finanțarea pentru o implementare tehnică și financiară adecvată a Proiectului este întocmit de </w:t>
      </w:r>
      <w:r w:rsidRPr="00A9116C">
        <w:rPr>
          <w:rStyle w:val="tlid-translation"/>
          <w:lang w:val="ro-RO"/>
        </w:rPr>
        <w:t>Agenția de Executare a Proiectului, fără întârzieri nejustificate în colaborare cu Consultantul de Implementare, și transmis KfW. Un astfel de grafic va conține, pe termene și sume, interacțiunea cronologică prevăzută între activitățile de Proiect și cerințele de finanțare corespunzătoare. În cazul în care pe parcursul implementării Proiectului apare necesitatea oricărei abateri de la graficul stabilit, KfW i se va oferi un grafic revizuit, care va fi aplicat doar cu acordul KfW în măsura prevăzută de articolul 1.4.</w:t>
      </w:r>
    </w:p>
    <w:p w:rsidR="00625C46" w:rsidRPr="00A9116C" w:rsidRDefault="00625C46" w:rsidP="00625C46">
      <w:pPr>
        <w:pStyle w:val="3"/>
        <w:numPr>
          <w:ilvl w:val="2"/>
          <w:numId w:val="28"/>
        </w:numPr>
        <w:rPr>
          <w:b/>
          <w:u w:val="single"/>
          <w:lang w:val="ro-RO" w:eastAsia="de-DE"/>
        </w:rPr>
      </w:pPr>
      <w:r w:rsidRPr="00A9116C">
        <w:rPr>
          <w:b/>
          <w:u w:val="single"/>
          <w:lang w:val="ro-RO" w:eastAsia="de-DE"/>
        </w:rPr>
        <w:t>Respectarea Standardelor de Mediu, Sociale</w:t>
      </w:r>
      <w:r w:rsidR="00E70CC0" w:rsidRPr="00A9116C">
        <w:rPr>
          <w:b/>
          <w:u w:val="single"/>
          <w:lang w:val="ro-RO" w:eastAsia="de-DE"/>
        </w:rPr>
        <w:t>,</w:t>
      </w:r>
      <w:r w:rsidRPr="00A9116C">
        <w:rPr>
          <w:b/>
          <w:u w:val="single"/>
          <w:lang w:val="ro-RO" w:eastAsia="de-DE"/>
        </w:rPr>
        <w:t xml:space="preserve"> Sănătate și Securitate în Muncă </w:t>
      </w:r>
    </w:p>
    <w:p w:rsidR="00625C46" w:rsidRPr="00A9116C" w:rsidRDefault="00625C46" w:rsidP="00625C46">
      <w:pPr>
        <w:pStyle w:val="4"/>
        <w:numPr>
          <w:ilvl w:val="2"/>
          <w:numId w:val="30"/>
        </w:numPr>
        <w:rPr>
          <w:lang w:val="ro-RO"/>
        </w:rPr>
      </w:pPr>
      <w:r w:rsidRPr="00A9116C">
        <w:rPr>
          <w:lang w:val="ro-RO"/>
        </w:rPr>
        <w:lastRenderedPageBreak/>
        <w:t>Agenția de Executare a Proiectului își desfășoară în orice moment activitatea și operațiunile în conformitate cu toate legile și reglementările naționale aplicabile în domeniul mediului, social, al sănătății și securității în muncă.</w:t>
      </w:r>
    </w:p>
    <w:p w:rsidR="00625C46" w:rsidRPr="00A9116C" w:rsidRDefault="00625C46" w:rsidP="00625C46">
      <w:pPr>
        <w:pStyle w:val="4"/>
        <w:numPr>
          <w:ilvl w:val="2"/>
          <w:numId w:val="30"/>
        </w:numPr>
        <w:rPr>
          <w:lang w:val="ro-RO"/>
        </w:rPr>
      </w:pPr>
      <w:r w:rsidRPr="00A9116C">
        <w:rPr>
          <w:lang w:val="ro-RO"/>
        </w:rPr>
        <w:t>Agenția de Executare a Proiectului este responsabilă pentru pregătirea, implementarea și funcționarea Proiectului, în conformitate cu standardele sociale și de mediu ale Băncii Mondiale și cu Ghidul MSS general și specific sectorului al Băncii Mondiale precum și, după caz, normele sociale și de mediu ale UE.</w:t>
      </w:r>
    </w:p>
    <w:p w:rsidR="00625C46" w:rsidRPr="00A9116C" w:rsidRDefault="00625C46" w:rsidP="00625C46">
      <w:pPr>
        <w:pStyle w:val="4"/>
        <w:numPr>
          <w:ilvl w:val="2"/>
          <w:numId w:val="30"/>
        </w:numPr>
        <w:rPr>
          <w:lang w:val="ro-RO"/>
        </w:rPr>
      </w:pPr>
      <w:r w:rsidRPr="00A9116C">
        <w:rPr>
          <w:lang w:val="ro-RO"/>
        </w:rPr>
        <w:t xml:space="preserve">În special, Agenția de Executare a Proiectului: </w:t>
      </w:r>
    </w:p>
    <w:p w:rsidR="00625C46" w:rsidRPr="00A9116C" w:rsidRDefault="00625C46" w:rsidP="00625C46">
      <w:pPr>
        <w:pStyle w:val="berschrift4a"/>
        <w:numPr>
          <w:ilvl w:val="0"/>
          <w:numId w:val="27"/>
        </w:numPr>
        <w:ind w:left="851" w:hanging="425"/>
        <w:rPr>
          <w:rFonts w:cs="Arial"/>
          <w:lang w:val="ro-RO" w:eastAsia="de-DE"/>
        </w:rPr>
      </w:pPr>
      <w:r w:rsidRPr="00A9116C">
        <w:rPr>
          <w:lang w:val="ro-RO"/>
        </w:rPr>
        <w:t xml:space="preserve">Desfășoară sau actualizează </w:t>
      </w:r>
      <w:r w:rsidRPr="00A9116C">
        <w:rPr>
          <w:rFonts w:cs="Arial"/>
          <w:lang w:val="ro-RO" w:eastAsia="de-DE"/>
        </w:rPr>
        <w:t>Evaluarea impactului asupra mediului și social proporțional cu riscurile și impacturile potențiale ale proiectului și corespunzător cu natura, dimensiunea și amplasarea acestuia în conformitate cu standardele de mediu și sociale ale Băncii Mondiale și Instrucțiunile EHS generale și pe sectoare ale Grupului Băncii Mondiale luând în considerare instrucțiunile de durabilitate ale Băncii de dezvoltare KfW și instrucțiunile BMZ privind încorporarea standardelor și principiilor referitoare la drepturile omului, inclusiv genul persoanei, în proiectul programului pentru cooperarea bilaterală tehnică și financiară germană.</w:t>
      </w:r>
    </w:p>
    <w:p w:rsidR="00625C46" w:rsidRPr="00A9116C" w:rsidRDefault="00625C46" w:rsidP="00625C46">
      <w:pPr>
        <w:pStyle w:val="berschrift4a"/>
        <w:numPr>
          <w:ilvl w:val="0"/>
          <w:numId w:val="27"/>
        </w:numPr>
        <w:ind w:left="851" w:hanging="425"/>
        <w:rPr>
          <w:rFonts w:cs="Arial"/>
          <w:lang w:val="ro-RO" w:eastAsia="de-DE"/>
        </w:rPr>
      </w:pPr>
      <w:r w:rsidRPr="00A9116C">
        <w:rPr>
          <w:lang w:val="ro-RO" w:eastAsia="de-DE"/>
        </w:rPr>
        <w:t xml:space="preserve">Elaborează și implementează </w:t>
      </w:r>
      <w:r w:rsidRPr="00A9116C">
        <w:rPr>
          <w:rFonts w:cs="Arial"/>
          <w:lang w:val="ro-RO" w:eastAsia="de-DE"/>
        </w:rPr>
        <w:t xml:space="preserve">planuri de monitorizare și gestionare de mediu și socială (PMGMS) </w:t>
      </w:r>
      <w:r w:rsidRPr="00A9116C">
        <w:rPr>
          <w:lang w:val="ro-RO" w:eastAsia="de-DE"/>
        </w:rPr>
        <w:t>pentru etapele de construcție și de desfășurare ale Proiectului, în conformitate cu standardele menționate mai sus, care să includă un plan de gestionare a forței de muncă.</w:t>
      </w:r>
    </w:p>
    <w:p w:rsidR="00625C46" w:rsidRPr="00A9116C" w:rsidRDefault="00625C46" w:rsidP="00625C46">
      <w:pPr>
        <w:pStyle w:val="berschrift4a"/>
        <w:numPr>
          <w:ilvl w:val="0"/>
          <w:numId w:val="27"/>
        </w:numPr>
        <w:ind w:left="851" w:hanging="425"/>
        <w:rPr>
          <w:rFonts w:cs="Arial"/>
          <w:lang w:val="ro-RO" w:eastAsia="de-DE"/>
        </w:rPr>
      </w:pPr>
      <w:r w:rsidRPr="00A9116C">
        <w:rPr>
          <w:lang w:val="ro-RO" w:eastAsia="de-DE"/>
        </w:rPr>
        <w:t>Elaborează un plan de proprietate asupra/ achiziție a terenului ca parte a documentelor de proiectare.</w:t>
      </w:r>
    </w:p>
    <w:p w:rsidR="00625C46" w:rsidRPr="00A9116C" w:rsidRDefault="00625C46" w:rsidP="00625C46">
      <w:pPr>
        <w:pStyle w:val="berschrift4a"/>
        <w:numPr>
          <w:ilvl w:val="0"/>
          <w:numId w:val="27"/>
        </w:numPr>
        <w:ind w:left="851" w:hanging="425"/>
        <w:rPr>
          <w:rFonts w:cs="Arial"/>
          <w:lang w:val="ro-RO" w:eastAsia="de-DE"/>
        </w:rPr>
      </w:pPr>
      <w:r w:rsidRPr="00A9116C">
        <w:rPr>
          <w:lang w:val="ro-RO" w:eastAsia="de-DE"/>
        </w:rPr>
        <w:t>În cazul în care apare necesitatea exproprierii terenurilor private sau publice, pregătește un plan de relocare și restabilire a mijloacelor de trai proporțional cu volumul relocării și pierderea mijloacelor de trai.</w:t>
      </w:r>
    </w:p>
    <w:p w:rsidR="00625C46" w:rsidRPr="00A9116C" w:rsidRDefault="00625C46" w:rsidP="00625C46">
      <w:pPr>
        <w:pStyle w:val="berschrift4a"/>
        <w:numPr>
          <w:ilvl w:val="0"/>
          <w:numId w:val="27"/>
        </w:numPr>
        <w:ind w:left="851" w:hanging="425"/>
        <w:rPr>
          <w:rFonts w:cs="Arial"/>
          <w:lang w:val="ro-RO" w:eastAsia="de-DE"/>
        </w:rPr>
      </w:pPr>
      <w:r w:rsidRPr="00A9116C">
        <w:rPr>
          <w:lang w:val="ro-RO" w:eastAsia="de-DE"/>
        </w:rPr>
        <w:t>Pregătește o examinare ecologică a locației din contul investițiilor de proiect de-a lungul unui coridor de 20 m pe terenuri neexploatate;</w:t>
      </w:r>
    </w:p>
    <w:p w:rsidR="00625C46" w:rsidRPr="00A9116C" w:rsidRDefault="00625C46" w:rsidP="00625C46">
      <w:pPr>
        <w:pStyle w:val="berschrift4a"/>
        <w:numPr>
          <w:ilvl w:val="0"/>
          <w:numId w:val="27"/>
        </w:numPr>
        <w:ind w:left="851" w:hanging="425"/>
        <w:rPr>
          <w:rFonts w:cs="Arial"/>
          <w:lang w:val="ro-RO" w:eastAsia="de-DE"/>
        </w:rPr>
      </w:pPr>
      <w:r w:rsidRPr="00A9116C">
        <w:rPr>
          <w:rFonts w:cs="Arial"/>
          <w:lang w:val="ro-RO" w:eastAsia="de-DE"/>
        </w:rPr>
        <w:t>Asigură - după aprobarea fără obiecții de către KfW a documentelor de mediu și sociale (de ex. ESIA, ESMP, SEP, RAP, BAP etc.), dar cel puțin un rezumat ușor de înțeles al principalelor constatări de mediu și social</w:t>
      </w:r>
      <w:r w:rsidR="001D30BF" w:rsidRPr="00A9116C">
        <w:rPr>
          <w:rFonts w:cs="Arial"/>
          <w:lang w:val="ro-RO" w:eastAsia="de-DE"/>
        </w:rPr>
        <w:t>e</w:t>
      </w:r>
      <w:r w:rsidRPr="00A9116C">
        <w:rPr>
          <w:rFonts w:cs="Arial"/>
          <w:lang w:val="ro-RO" w:eastAsia="de-DE"/>
        </w:rPr>
        <w:t xml:space="preserve"> și al măsurilor de atenuare, inclusiv </w:t>
      </w:r>
      <w:r w:rsidR="001D30BF" w:rsidRPr="00A9116C">
        <w:rPr>
          <w:rFonts w:cs="Arial"/>
          <w:lang w:val="ro-RO" w:eastAsia="de-DE"/>
        </w:rPr>
        <w:t>procesul de implicare a părților</w:t>
      </w:r>
      <w:r w:rsidRPr="00A9116C">
        <w:rPr>
          <w:rFonts w:cs="Arial"/>
          <w:lang w:val="ro-RO" w:eastAsia="de-DE"/>
        </w:rPr>
        <w:t xml:space="preserve"> interesate (de ex. Rezumatul non-tehnic) este pus la dispoziția publicului în zona Proiectului, la un momen</w:t>
      </w:r>
      <w:r w:rsidR="00621F31" w:rsidRPr="00A9116C">
        <w:rPr>
          <w:rFonts w:cs="Arial"/>
          <w:lang w:val="ro-RO" w:eastAsia="de-DE"/>
        </w:rPr>
        <w:t xml:space="preserve">t adecvat în timpul elaborării </w:t>
      </w:r>
      <w:r w:rsidRPr="00A9116C">
        <w:rPr>
          <w:rFonts w:cs="Arial"/>
          <w:lang w:val="ro-RO" w:eastAsia="de-DE"/>
        </w:rPr>
        <w:t xml:space="preserve">Proiectului, într-o manieră accesibilă și adecvată cultural, pentru un timp </w:t>
      </w:r>
      <w:r w:rsidRPr="00A9116C">
        <w:rPr>
          <w:rFonts w:cs="Arial"/>
          <w:lang w:val="ro-RO" w:eastAsia="de-DE"/>
        </w:rPr>
        <w:lastRenderedPageBreak/>
        <w:t>adecvat pentru a p</w:t>
      </w:r>
      <w:r w:rsidR="00621F31" w:rsidRPr="00A9116C">
        <w:rPr>
          <w:rFonts w:cs="Arial"/>
          <w:lang w:val="ro-RO" w:eastAsia="de-DE"/>
        </w:rPr>
        <w:t xml:space="preserve">ermite </w:t>
      </w:r>
      <w:r w:rsidR="00106C97" w:rsidRPr="00A9116C">
        <w:rPr>
          <w:rFonts w:cs="Arial"/>
          <w:lang w:val="ro-RO" w:eastAsia="de-DE"/>
        </w:rPr>
        <w:t>exprimarea de către persoanele</w:t>
      </w:r>
      <w:r w:rsidR="00621F31" w:rsidRPr="00A9116C">
        <w:rPr>
          <w:rFonts w:cs="Arial"/>
          <w:lang w:val="ro-RO" w:eastAsia="de-DE"/>
        </w:rPr>
        <w:t xml:space="preserve"> afectate de P</w:t>
      </w:r>
      <w:r w:rsidRPr="00A9116C">
        <w:rPr>
          <w:rFonts w:cs="Arial"/>
          <w:lang w:val="ro-RO" w:eastAsia="de-DE"/>
        </w:rPr>
        <w:t xml:space="preserve">roiect </w:t>
      </w:r>
      <w:r w:rsidR="00106C97" w:rsidRPr="00A9116C">
        <w:rPr>
          <w:rFonts w:cs="Arial"/>
          <w:lang w:val="ro-RO" w:eastAsia="de-DE"/>
        </w:rPr>
        <w:t xml:space="preserve">a </w:t>
      </w:r>
      <w:r w:rsidRPr="00A9116C">
        <w:rPr>
          <w:rFonts w:cs="Arial"/>
          <w:lang w:val="ro-RO" w:eastAsia="de-DE"/>
        </w:rPr>
        <w:t>preocup</w:t>
      </w:r>
      <w:r w:rsidR="00106C97" w:rsidRPr="00A9116C">
        <w:rPr>
          <w:rFonts w:cs="Arial"/>
          <w:lang w:val="ro-RO" w:eastAsia="de-DE"/>
        </w:rPr>
        <w:t>ărilor</w:t>
      </w:r>
      <w:r w:rsidRPr="00A9116C">
        <w:rPr>
          <w:rFonts w:cs="Arial"/>
          <w:lang w:val="ro-RO" w:eastAsia="de-DE"/>
        </w:rPr>
        <w:t xml:space="preserve"> și</w:t>
      </w:r>
      <w:r w:rsidR="00106C97" w:rsidRPr="00A9116C">
        <w:rPr>
          <w:rFonts w:cs="Arial"/>
          <w:lang w:val="ro-RO" w:eastAsia="de-DE"/>
        </w:rPr>
        <w:t xml:space="preserve"> sugestiilor lor</w:t>
      </w:r>
      <w:r w:rsidR="00621F31" w:rsidRPr="00A9116C">
        <w:rPr>
          <w:rFonts w:cs="Arial"/>
          <w:lang w:val="ro-RO" w:eastAsia="de-DE"/>
        </w:rPr>
        <w:t xml:space="preserve"> și, după caz, dezvăluirea acestora pe site-ul </w:t>
      </w:r>
      <w:r w:rsidRPr="00A9116C">
        <w:rPr>
          <w:rFonts w:cs="Arial"/>
          <w:lang w:val="ro-RO" w:eastAsia="de-DE"/>
        </w:rPr>
        <w:t>A</w:t>
      </w:r>
      <w:r w:rsidR="00621F31" w:rsidRPr="00A9116C">
        <w:rPr>
          <w:rFonts w:cs="Arial"/>
          <w:lang w:val="ro-RO" w:eastAsia="de-DE"/>
        </w:rPr>
        <w:t>EP</w:t>
      </w:r>
      <w:r w:rsidRPr="00A9116C">
        <w:rPr>
          <w:rFonts w:cs="Arial"/>
          <w:lang w:val="ro-RO" w:eastAsia="de-DE"/>
        </w:rPr>
        <w:t>.</w:t>
      </w:r>
    </w:p>
    <w:p w:rsidR="00625C46" w:rsidRPr="00A9116C" w:rsidRDefault="00625C46" w:rsidP="00625C46">
      <w:pPr>
        <w:pStyle w:val="4"/>
        <w:numPr>
          <w:ilvl w:val="2"/>
          <w:numId w:val="30"/>
        </w:numPr>
        <w:rPr>
          <w:lang w:val="ro-RO"/>
        </w:rPr>
      </w:pPr>
      <w:r w:rsidRPr="00A9116C">
        <w:rPr>
          <w:lang w:val="ro-RO"/>
        </w:rPr>
        <w:t>Agenția de Executare a Proiectului și eventualii executori trebuie să respecte Convențiile Fundamentale ale Organizației Internaționale a Muncii (OIM).</w:t>
      </w:r>
    </w:p>
    <w:p w:rsidR="00625C46" w:rsidRPr="00A9116C" w:rsidRDefault="00625C46" w:rsidP="00625C46">
      <w:pPr>
        <w:pStyle w:val="4"/>
        <w:numPr>
          <w:ilvl w:val="2"/>
          <w:numId w:val="30"/>
        </w:numPr>
        <w:rPr>
          <w:lang w:val="ro-RO"/>
        </w:rPr>
      </w:pPr>
      <w:r w:rsidRPr="00A9116C">
        <w:rPr>
          <w:lang w:val="ro-RO"/>
        </w:rPr>
        <w:t>Agenția de Executare a Proiectului și executorii trebuie să se asigure că prevederile sanitare și de securitate în muncă publice respectă cerințele naționale și standardele internaționale de bune practici și sunt prezentate antreprenorilor și subcontractanților, precum și furnizorilor, în special celor mai importanți.</w:t>
      </w:r>
    </w:p>
    <w:p w:rsidR="00625C46" w:rsidRPr="00A9116C" w:rsidRDefault="00625C46" w:rsidP="00625C46">
      <w:pPr>
        <w:pStyle w:val="4"/>
        <w:numPr>
          <w:ilvl w:val="2"/>
          <w:numId w:val="30"/>
        </w:numPr>
        <w:rPr>
          <w:lang w:val="ro-RO"/>
        </w:rPr>
      </w:pPr>
      <w:r w:rsidRPr="00A9116C">
        <w:rPr>
          <w:lang w:val="ro-RO"/>
        </w:rPr>
        <w:t>Agenția de Executare a Proiectului elaborează și pune în aplicare un mecanism de soluționare a reclamațiilor satisfăcător pentru KfW, care este accesibil publicului larg și, în special, persoanelor afectate de Proiect și forței de muncă antrenate în implementarea proiectului.</w:t>
      </w:r>
    </w:p>
    <w:p w:rsidR="00625C46" w:rsidRPr="00A9116C" w:rsidRDefault="00625C46" w:rsidP="00625C46">
      <w:pPr>
        <w:pStyle w:val="3"/>
        <w:numPr>
          <w:ilvl w:val="2"/>
          <w:numId w:val="6"/>
        </w:numPr>
        <w:rPr>
          <w:lang w:val="ro-RO"/>
        </w:rPr>
      </w:pPr>
      <w:r w:rsidRPr="00A9116C">
        <w:rPr>
          <w:b/>
          <w:u w:val="single"/>
          <w:lang w:val="ro-RO"/>
        </w:rPr>
        <w:t>Achiziții și Clauze Contractuale</w:t>
      </w:r>
    </w:p>
    <w:p w:rsidR="00625C46" w:rsidRPr="00A9116C" w:rsidRDefault="00625C46" w:rsidP="00625C46">
      <w:pPr>
        <w:pStyle w:val="berschrift4a"/>
        <w:rPr>
          <w:lang w:val="ro-RO"/>
        </w:rPr>
      </w:pPr>
      <w:r w:rsidRPr="00A9116C">
        <w:rPr>
          <w:rFonts w:cs="Arial"/>
          <w:lang w:val="ro-RO" w:eastAsia="de-DE"/>
        </w:rPr>
        <w:t>To</w:t>
      </w:r>
      <w:r w:rsidR="001E6EB7" w:rsidRPr="00A9116C">
        <w:rPr>
          <w:rFonts w:cs="Arial"/>
          <w:lang w:val="ro-RO" w:eastAsia="de-DE"/>
        </w:rPr>
        <w:t xml:space="preserve">ate procesele de licitație (după </w:t>
      </w:r>
      <w:r w:rsidRPr="00A9116C">
        <w:rPr>
          <w:rFonts w:cs="Arial"/>
          <w:lang w:val="ro-RO" w:eastAsia="de-DE"/>
        </w:rPr>
        <w:t xml:space="preserve">cum sunt definite în </w:t>
      </w:r>
      <w:r w:rsidR="00EF2307" w:rsidRPr="00A9116C">
        <w:rPr>
          <w:rFonts w:cs="Arial"/>
          <w:lang w:val="ro-RO" w:eastAsia="de-DE"/>
        </w:rPr>
        <w:t xml:space="preserve">”Ghidul privind achiziția serviciilor de consultanță, lucrărilor, instalațiilor, bunurilor și altor servicii altele decât cele de consultanță în domeniul cooperării financiare cu țările partenere” prezentat în Anexa 5 </w:t>
      </w:r>
      <w:r w:rsidRPr="00A9116C">
        <w:rPr>
          <w:rFonts w:cs="Arial"/>
          <w:lang w:val="ro-RO" w:eastAsia="de-DE"/>
        </w:rPr>
        <w:t>(„</w:t>
      </w:r>
      <w:r w:rsidR="00EF2307" w:rsidRPr="00A9116C">
        <w:rPr>
          <w:rFonts w:cs="Arial"/>
          <w:lang w:val="ro-RO" w:eastAsia="de-DE"/>
        </w:rPr>
        <w:t>Ghidul privind achizițiile</w:t>
      </w:r>
      <w:r w:rsidRPr="00A9116C">
        <w:rPr>
          <w:rFonts w:cs="Arial"/>
          <w:lang w:val="ro-RO" w:eastAsia="de-DE"/>
        </w:rPr>
        <w:t xml:space="preserve">”) </w:t>
      </w:r>
      <w:r w:rsidR="00817101" w:rsidRPr="00A9116C">
        <w:rPr>
          <w:rFonts w:cs="Arial"/>
          <w:lang w:val="ro-RO" w:eastAsia="de-DE"/>
        </w:rPr>
        <w:t>care ur</w:t>
      </w:r>
      <w:r w:rsidR="00E942C5" w:rsidRPr="00A9116C">
        <w:rPr>
          <w:rFonts w:cs="Arial"/>
          <w:lang w:val="ro-RO" w:eastAsia="de-DE"/>
        </w:rPr>
        <w:t>mează să se desfășoare</w:t>
      </w:r>
      <w:r w:rsidR="00817101" w:rsidRPr="00A9116C">
        <w:rPr>
          <w:rFonts w:cs="Arial"/>
          <w:lang w:val="ro-RO" w:eastAsia="de-DE"/>
        </w:rPr>
        <w:t xml:space="preserve"> în cazul oricărui </w:t>
      </w:r>
      <w:r w:rsidRPr="00A9116C">
        <w:rPr>
          <w:rFonts w:cs="Arial"/>
          <w:lang w:val="ro-RO" w:eastAsia="de-DE"/>
        </w:rPr>
        <w:t xml:space="preserve">contract finanțat în temeiul </w:t>
      </w:r>
      <w:r w:rsidR="00936C49" w:rsidRPr="00A9116C">
        <w:rPr>
          <w:rFonts w:cs="Arial"/>
          <w:lang w:val="ro-RO" w:eastAsia="de-DE"/>
        </w:rPr>
        <w:t xml:space="preserve">Contractului </w:t>
      </w:r>
      <w:r w:rsidRPr="00A9116C">
        <w:rPr>
          <w:rFonts w:cs="Arial"/>
          <w:lang w:val="ro-RO" w:eastAsia="de-DE"/>
        </w:rPr>
        <w:t xml:space="preserve">de finanțare și </w:t>
      </w:r>
      <w:r w:rsidR="00936C49" w:rsidRPr="00A9116C">
        <w:rPr>
          <w:rFonts w:cs="Arial"/>
          <w:lang w:val="ro-RO" w:eastAsia="de-DE"/>
        </w:rPr>
        <w:t xml:space="preserve">de </w:t>
      </w:r>
      <w:r w:rsidRPr="00A9116C">
        <w:rPr>
          <w:rFonts w:cs="Arial"/>
          <w:lang w:val="ro-RO" w:eastAsia="de-DE"/>
        </w:rPr>
        <w:t xml:space="preserve">proiect </w:t>
      </w:r>
      <w:r w:rsidR="00E942C5" w:rsidRPr="00A9116C">
        <w:rPr>
          <w:rFonts w:cs="Arial"/>
          <w:lang w:val="ro-RO" w:eastAsia="de-DE"/>
        </w:rPr>
        <w:t>vor respecta</w:t>
      </w:r>
      <w:r w:rsidRPr="00A9116C">
        <w:rPr>
          <w:rFonts w:cs="Arial"/>
          <w:lang w:val="ro-RO" w:eastAsia="de-DE"/>
        </w:rPr>
        <w:t xml:space="preserve"> în orice moment:</w:t>
      </w:r>
    </w:p>
    <w:p w:rsidR="00E942C5" w:rsidRPr="00A9116C" w:rsidRDefault="00E942C5" w:rsidP="00625C46">
      <w:pPr>
        <w:pStyle w:val="Einrckunga"/>
        <w:numPr>
          <w:ilvl w:val="0"/>
          <w:numId w:val="4"/>
        </w:numPr>
        <w:ind w:left="851" w:hanging="851"/>
        <w:rPr>
          <w:rFonts w:cs="Arial"/>
          <w:szCs w:val="22"/>
          <w:lang w:val="ro-RO" w:eastAsia="de-DE"/>
        </w:rPr>
      </w:pPr>
      <w:r w:rsidRPr="00A9116C">
        <w:rPr>
          <w:lang w:val="ro-RO" w:eastAsia="de-DE"/>
        </w:rPr>
        <w:t>Ghidul privind achizițiile</w:t>
      </w:r>
      <w:r w:rsidR="00625C46" w:rsidRPr="00A9116C">
        <w:rPr>
          <w:lang w:val="ro-RO" w:eastAsia="de-DE"/>
        </w:rPr>
        <w:t>; și</w:t>
      </w:r>
    </w:p>
    <w:p w:rsidR="007326DD" w:rsidRPr="00A9116C" w:rsidRDefault="00D53095" w:rsidP="00625C46">
      <w:pPr>
        <w:pStyle w:val="Einrckunga"/>
        <w:numPr>
          <w:ilvl w:val="0"/>
          <w:numId w:val="4"/>
        </w:numPr>
        <w:ind w:left="851" w:hanging="851"/>
        <w:rPr>
          <w:rFonts w:cs="Arial"/>
          <w:szCs w:val="22"/>
          <w:lang w:val="ro-RO" w:eastAsia="de-DE"/>
        </w:rPr>
      </w:pPr>
      <w:r w:rsidRPr="00A9116C">
        <w:rPr>
          <w:lang w:val="ro-RO" w:eastAsia="de-DE"/>
        </w:rPr>
        <w:t>Planul de achiziții prezentat în A</w:t>
      </w:r>
      <w:r w:rsidR="00625C46" w:rsidRPr="00A9116C">
        <w:rPr>
          <w:lang w:val="ro-RO" w:eastAsia="de-DE"/>
        </w:rPr>
        <w:t xml:space="preserve">nexa 6, </w:t>
      </w:r>
      <w:r w:rsidRPr="00A9116C">
        <w:rPr>
          <w:lang w:val="ro-RO" w:eastAsia="de-DE"/>
        </w:rPr>
        <w:t>cu modificările și reformulările</w:t>
      </w:r>
      <w:r w:rsidR="00625C46" w:rsidRPr="00A9116C">
        <w:rPr>
          <w:lang w:val="ro-RO" w:eastAsia="de-DE"/>
        </w:rPr>
        <w:t xml:space="preserve"> </w:t>
      </w:r>
      <w:r w:rsidR="007326DD" w:rsidRPr="00A9116C">
        <w:rPr>
          <w:lang w:val="ro-RO" w:eastAsia="de-DE"/>
        </w:rPr>
        <w:t>periodice</w:t>
      </w:r>
      <w:r w:rsidR="00625C46" w:rsidRPr="00A9116C">
        <w:rPr>
          <w:lang w:val="ro-RO" w:eastAsia="de-DE"/>
        </w:rPr>
        <w:t xml:space="preserve">, </w:t>
      </w:r>
      <w:r w:rsidR="007326DD" w:rsidRPr="00A9116C">
        <w:rPr>
          <w:lang w:val="ro-RO" w:eastAsia="de-DE"/>
        </w:rPr>
        <w:t>convenite</w:t>
      </w:r>
      <w:r w:rsidR="00625C46" w:rsidRPr="00A9116C">
        <w:rPr>
          <w:lang w:val="ro-RO" w:eastAsia="de-DE"/>
        </w:rPr>
        <w:t xml:space="preserve"> cu KfW („Planul de achiziții”),</w:t>
      </w:r>
    </w:p>
    <w:p w:rsidR="00625C46" w:rsidRPr="00A9116C" w:rsidRDefault="00625C46" w:rsidP="00625C46">
      <w:pPr>
        <w:pStyle w:val="Einrckunga"/>
        <w:numPr>
          <w:ilvl w:val="0"/>
          <w:numId w:val="4"/>
        </w:numPr>
        <w:ind w:left="851" w:hanging="851"/>
        <w:rPr>
          <w:rFonts w:cs="Arial"/>
          <w:szCs w:val="22"/>
          <w:lang w:val="ro-RO" w:eastAsia="de-DE"/>
        </w:rPr>
      </w:pPr>
      <w:r w:rsidRPr="00A9116C">
        <w:rPr>
          <w:lang w:val="ro-RO" w:eastAsia="de-DE"/>
        </w:rPr>
        <w:t>licitație</w:t>
      </w:r>
      <w:r w:rsidR="00FA69A3" w:rsidRPr="00A9116C">
        <w:rPr>
          <w:lang w:val="ro-RO" w:eastAsia="de-DE"/>
        </w:rPr>
        <w:t xml:space="preserve"> competitivă internațională (i</w:t>
      </w:r>
      <w:r w:rsidRPr="00A9116C">
        <w:rPr>
          <w:lang w:val="ro-RO" w:eastAsia="de-DE"/>
        </w:rPr>
        <w:t xml:space="preserve">n cazuri speciale limitate, o abatere de la principiul licitației </w:t>
      </w:r>
      <w:r w:rsidR="00FA69A3" w:rsidRPr="00A9116C">
        <w:rPr>
          <w:lang w:val="ro-RO" w:eastAsia="de-DE"/>
        </w:rPr>
        <w:t xml:space="preserve">competitive internaționale și </w:t>
      </w:r>
      <w:r w:rsidR="00D80E00" w:rsidRPr="00A9116C">
        <w:rPr>
          <w:lang w:val="ro-RO" w:eastAsia="de-DE"/>
        </w:rPr>
        <w:t>poate fi aplicată după „lipsa de obiecții</w:t>
      </w:r>
      <w:r w:rsidRPr="00A9116C">
        <w:rPr>
          <w:lang w:val="ro-RO" w:eastAsia="de-DE"/>
        </w:rPr>
        <w:t>” a KfW)</w:t>
      </w:r>
    </w:p>
    <w:p w:rsidR="00625C46" w:rsidRPr="00A9116C" w:rsidRDefault="00625C46" w:rsidP="00625C46">
      <w:pPr>
        <w:rPr>
          <w:rFonts w:cs="Arial"/>
          <w:szCs w:val="22"/>
          <w:lang w:val="ro-RO" w:eastAsia="de-DE"/>
        </w:rPr>
      </w:pPr>
      <w:r w:rsidRPr="00A9116C">
        <w:rPr>
          <w:rStyle w:val="tlid-translation"/>
          <w:lang w:val="ro-RO"/>
        </w:rPr>
        <w:t>cu excepția cazului în care a fost convenit altfel între KfW și Agenția de Executare a Proiectului în scris. Recomandări speciale cu privire la achizițiil</w:t>
      </w:r>
      <w:r w:rsidR="001A6CBE" w:rsidRPr="00A9116C">
        <w:rPr>
          <w:rStyle w:val="tlid-translation"/>
          <w:lang w:val="ro-RO"/>
        </w:rPr>
        <w:t>e durabile sunt descrise în</w:t>
      </w:r>
      <w:r w:rsidR="00DA3E55" w:rsidRPr="00A9116C">
        <w:rPr>
          <w:rStyle w:val="tlid-translation"/>
          <w:lang w:val="ro-RO"/>
        </w:rPr>
        <w:t xml:space="preserve"> „I</w:t>
      </w:r>
      <w:r w:rsidRPr="00A9116C">
        <w:rPr>
          <w:rStyle w:val="tlid-translation"/>
          <w:lang w:val="ro-RO"/>
        </w:rPr>
        <w:t>nstrumente</w:t>
      </w:r>
      <w:r w:rsidR="001A6CBE" w:rsidRPr="00A9116C">
        <w:rPr>
          <w:rStyle w:val="tlid-translation"/>
          <w:lang w:val="ro-RO"/>
        </w:rPr>
        <w:t>le</w:t>
      </w:r>
      <w:r w:rsidRPr="00A9116C">
        <w:rPr>
          <w:rStyle w:val="tlid-translation"/>
          <w:lang w:val="ro-RO"/>
        </w:rPr>
        <w:t xml:space="preserve"> de achiziții durabile” </w:t>
      </w:r>
      <w:r w:rsidR="001A6CBE" w:rsidRPr="00A9116C">
        <w:rPr>
          <w:rStyle w:val="tlid-translation"/>
          <w:lang w:val="ro-RO"/>
        </w:rPr>
        <w:t xml:space="preserve">ale KfW </w:t>
      </w:r>
      <w:r w:rsidRPr="00A9116C">
        <w:rPr>
          <w:rStyle w:val="tlid-translation"/>
          <w:lang w:val="ro-RO"/>
        </w:rPr>
        <w:t>(Anexa 8)</w:t>
      </w:r>
    </w:p>
    <w:p w:rsidR="00625C46" w:rsidRPr="00A9116C" w:rsidRDefault="00625C46" w:rsidP="00625C46">
      <w:pPr>
        <w:rPr>
          <w:rFonts w:cs="Arial"/>
          <w:szCs w:val="22"/>
          <w:lang w:val="ro-RO" w:eastAsia="de-DE"/>
        </w:rPr>
      </w:pPr>
      <w:r w:rsidRPr="00A9116C">
        <w:rPr>
          <w:rFonts w:cs="Arial"/>
          <w:szCs w:val="22"/>
          <w:lang w:val="ro-RO" w:eastAsia="de-DE"/>
        </w:rPr>
        <w:t xml:space="preserve">Articolul 1.6.2 din </w:t>
      </w:r>
      <w:r w:rsidR="005C7675" w:rsidRPr="00A9116C">
        <w:rPr>
          <w:rFonts w:cs="Arial"/>
          <w:szCs w:val="22"/>
          <w:lang w:val="ro-RO" w:eastAsia="de-DE"/>
        </w:rPr>
        <w:t>Ghidul privind achizițiile</w:t>
      </w:r>
      <w:r w:rsidRPr="00A9116C">
        <w:rPr>
          <w:rFonts w:cs="Arial"/>
          <w:szCs w:val="22"/>
          <w:lang w:val="ro-RO" w:eastAsia="de-DE"/>
        </w:rPr>
        <w:t xml:space="preserve"> prevede pregătirea unui plan de achiziții sub forma </w:t>
      </w:r>
      <w:r w:rsidR="00C8627A" w:rsidRPr="00A9116C">
        <w:rPr>
          <w:rFonts w:cs="Arial"/>
          <w:szCs w:val="22"/>
          <w:lang w:val="ro-RO" w:eastAsia="de-DE"/>
        </w:rPr>
        <w:t xml:space="preserve">specificată în Anexa </w:t>
      </w:r>
      <w:r w:rsidRPr="00A9116C">
        <w:rPr>
          <w:rFonts w:cs="Arial"/>
          <w:szCs w:val="22"/>
          <w:lang w:val="ro-RO" w:eastAsia="de-DE"/>
        </w:rPr>
        <w:t xml:space="preserve">2 </w:t>
      </w:r>
      <w:r w:rsidR="00C8627A" w:rsidRPr="00A9116C">
        <w:rPr>
          <w:rFonts w:cs="Arial"/>
          <w:szCs w:val="22"/>
          <w:lang w:val="ro-RO" w:eastAsia="de-DE"/>
        </w:rPr>
        <w:t>la Ghidul</w:t>
      </w:r>
      <w:r w:rsidRPr="00A9116C">
        <w:rPr>
          <w:rFonts w:cs="Arial"/>
          <w:szCs w:val="22"/>
          <w:lang w:val="ro-RO" w:eastAsia="de-DE"/>
        </w:rPr>
        <w:t xml:space="preserve"> privind achizițiile, care identifică procesele de licitație respective (așa cum sunt definite în </w:t>
      </w:r>
      <w:r w:rsidR="00C8627A" w:rsidRPr="00A9116C">
        <w:rPr>
          <w:rFonts w:cs="Arial"/>
          <w:szCs w:val="22"/>
          <w:lang w:val="ro-RO" w:eastAsia="de-DE"/>
        </w:rPr>
        <w:t>Ghidul</w:t>
      </w:r>
      <w:r w:rsidRPr="00A9116C">
        <w:rPr>
          <w:rFonts w:cs="Arial"/>
          <w:szCs w:val="22"/>
          <w:lang w:val="ro-RO" w:eastAsia="de-DE"/>
        </w:rPr>
        <w:t xml:space="preserve"> privind achizițiile) pentru toate contractele finanțate în baza </w:t>
      </w:r>
      <w:r w:rsidR="00CD4778" w:rsidRPr="00A9116C">
        <w:rPr>
          <w:rFonts w:cs="Arial"/>
          <w:szCs w:val="22"/>
          <w:lang w:val="ro-RO" w:eastAsia="de-DE"/>
        </w:rPr>
        <w:t xml:space="preserve">Contractului </w:t>
      </w:r>
      <w:r w:rsidRPr="00A9116C">
        <w:rPr>
          <w:rFonts w:cs="Arial"/>
          <w:szCs w:val="22"/>
          <w:lang w:val="ro-RO" w:eastAsia="de-DE"/>
        </w:rPr>
        <w:t xml:space="preserve">de finanțare și </w:t>
      </w:r>
      <w:r w:rsidR="00CD4778" w:rsidRPr="00A9116C">
        <w:rPr>
          <w:rFonts w:cs="Arial"/>
          <w:szCs w:val="22"/>
          <w:lang w:val="ro-RO" w:eastAsia="de-DE"/>
        </w:rPr>
        <w:t xml:space="preserve">de </w:t>
      </w:r>
      <w:r w:rsidRPr="00A9116C">
        <w:rPr>
          <w:rFonts w:cs="Arial"/>
          <w:szCs w:val="22"/>
          <w:lang w:val="ro-RO" w:eastAsia="de-DE"/>
        </w:rPr>
        <w:t>proiect.</w:t>
      </w:r>
    </w:p>
    <w:p w:rsidR="00625C46" w:rsidRPr="00A9116C" w:rsidRDefault="00CD4778" w:rsidP="00625C46">
      <w:pPr>
        <w:rPr>
          <w:rFonts w:cs="Arial"/>
          <w:szCs w:val="22"/>
          <w:lang w:val="ro-RO" w:eastAsia="de-DE"/>
        </w:rPr>
      </w:pPr>
      <w:r w:rsidRPr="00A9116C">
        <w:rPr>
          <w:rFonts w:cs="Arial"/>
          <w:szCs w:val="22"/>
          <w:lang w:val="ro-RO" w:eastAsia="de-DE"/>
        </w:rPr>
        <w:t>Planul de achiziții (i) cuprinde toată durata de viață a P</w:t>
      </w:r>
      <w:r w:rsidR="00625C46" w:rsidRPr="00A9116C">
        <w:rPr>
          <w:rFonts w:cs="Arial"/>
          <w:szCs w:val="22"/>
          <w:lang w:val="ro-RO" w:eastAsia="de-DE"/>
        </w:rPr>
        <w:t>roiectului și (ii) furnizează în versiunea sa inițială detalii pentru cel puțin</w:t>
      </w:r>
      <w:r w:rsidR="005E259B" w:rsidRPr="00A9116C">
        <w:rPr>
          <w:rFonts w:cs="Arial"/>
          <w:szCs w:val="22"/>
          <w:lang w:val="ro-RO" w:eastAsia="de-DE"/>
        </w:rPr>
        <w:t xml:space="preserve"> primele</w:t>
      </w:r>
      <w:r w:rsidR="00625C46" w:rsidRPr="00A9116C">
        <w:rPr>
          <w:rFonts w:cs="Arial"/>
          <w:szCs w:val="22"/>
          <w:lang w:val="ro-RO" w:eastAsia="de-DE"/>
        </w:rPr>
        <w:t xml:space="preserve"> 18 luni </w:t>
      </w:r>
      <w:r w:rsidR="005E259B" w:rsidRPr="00A9116C">
        <w:rPr>
          <w:rFonts w:cs="Arial"/>
          <w:szCs w:val="22"/>
          <w:lang w:val="ro-RO" w:eastAsia="de-DE"/>
        </w:rPr>
        <w:t>din</w:t>
      </w:r>
      <w:r w:rsidR="00625C46" w:rsidRPr="00A9116C">
        <w:rPr>
          <w:rFonts w:cs="Arial"/>
          <w:szCs w:val="22"/>
          <w:lang w:val="ro-RO" w:eastAsia="de-DE"/>
        </w:rPr>
        <w:t xml:space="preserve"> data </w:t>
      </w:r>
      <w:r w:rsidR="005E259B" w:rsidRPr="00A9116C">
        <w:rPr>
          <w:rFonts w:cs="Arial"/>
          <w:szCs w:val="22"/>
          <w:lang w:val="ro-RO" w:eastAsia="de-DE"/>
        </w:rPr>
        <w:t>Contractului</w:t>
      </w:r>
      <w:r w:rsidR="00625C46" w:rsidRPr="00A9116C">
        <w:rPr>
          <w:rFonts w:cs="Arial"/>
          <w:szCs w:val="22"/>
          <w:lang w:val="ro-RO" w:eastAsia="de-DE"/>
        </w:rPr>
        <w:t xml:space="preserve"> de finanțare și </w:t>
      </w:r>
      <w:r w:rsidR="005E259B" w:rsidRPr="00A9116C">
        <w:rPr>
          <w:rFonts w:cs="Arial"/>
          <w:szCs w:val="22"/>
          <w:lang w:val="ro-RO" w:eastAsia="de-DE"/>
        </w:rPr>
        <w:t xml:space="preserve">de </w:t>
      </w:r>
      <w:r w:rsidR="00625C46" w:rsidRPr="00A9116C">
        <w:rPr>
          <w:rFonts w:cs="Arial"/>
          <w:szCs w:val="22"/>
          <w:lang w:val="ro-RO" w:eastAsia="de-DE"/>
        </w:rPr>
        <w:t xml:space="preserve">proiect. Planul de achiziții va fi revizuit și, </w:t>
      </w:r>
      <w:r w:rsidR="00212D39" w:rsidRPr="00A9116C">
        <w:rPr>
          <w:rFonts w:cs="Arial"/>
          <w:szCs w:val="22"/>
          <w:lang w:val="ro-RO" w:eastAsia="de-DE"/>
        </w:rPr>
        <w:t xml:space="preserve">la necesitate, actualizat </w:t>
      </w:r>
      <w:r w:rsidR="00625C46" w:rsidRPr="00A9116C">
        <w:rPr>
          <w:rFonts w:cs="Arial"/>
          <w:szCs w:val="22"/>
          <w:lang w:val="ro-RO" w:eastAsia="de-DE"/>
        </w:rPr>
        <w:t xml:space="preserve">anual și, în cazul </w:t>
      </w:r>
      <w:r w:rsidR="00212D39" w:rsidRPr="00A9116C">
        <w:rPr>
          <w:rFonts w:cs="Arial"/>
          <w:szCs w:val="22"/>
          <w:lang w:val="ro-RO" w:eastAsia="de-DE"/>
        </w:rPr>
        <w:lastRenderedPageBreak/>
        <w:t>actualizării</w:t>
      </w:r>
      <w:r w:rsidR="00625C46" w:rsidRPr="00A9116C">
        <w:rPr>
          <w:rFonts w:cs="Arial"/>
          <w:szCs w:val="22"/>
          <w:lang w:val="ro-RO" w:eastAsia="de-DE"/>
        </w:rPr>
        <w:t>, versiune</w:t>
      </w:r>
      <w:r w:rsidR="00807F2B" w:rsidRPr="00A9116C">
        <w:rPr>
          <w:rFonts w:cs="Arial"/>
          <w:szCs w:val="22"/>
          <w:lang w:val="ro-RO" w:eastAsia="de-DE"/>
        </w:rPr>
        <w:t>a</w:t>
      </w:r>
      <w:r w:rsidR="00625C46" w:rsidRPr="00A9116C">
        <w:rPr>
          <w:rFonts w:cs="Arial"/>
          <w:szCs w:val="22"/>
          <w:lang w:val="ro-RO" w:eastAsia="de-DE"/>
        </w:rPr>
        <w:t xml:space="preserve"> revizuită va fi transmisă imediat KfW pentru </w:t>
      </w:r>
      <w:r w:rsidR="00807F2B" w:rsidRPr="00A9116C">
        <w:rPr>
          <w:rFonts w:cs="Arial"/>
          <w:szCs w:val="22"/>
          <w:lang w:val="ro-RO" w:eastAsia="de-DE"/>
        </w:rPr>
        <w:t>excluderea obiecțiilor (după cum se indică</w:t>
      </w:r>
      <w:r w:rsidR="00625C46" w:rsidRPr="00A9116C">
        <w:rPr>
          <w:rFonts w:cs="Arial"/>
          <w:szCs w:val="22"/>
          <w:lang w:val="ro-RO" w:eastAsia="de-DE"/>
        </w:rPr>
        <w:t xml:space="preserve"> în Gh</w:t>
      </w:r>
      <w:r w:rsidR="00807F2B" w:rsidRPr="00A9116C">
        <w:rPr>
          <w:rFonts w:cs="Arial"/>
          <w:szCs w:val="22"/>
          <w:lang w:val="ro-RO" w:eastAsia="de-DE"/>
        </w:rPr>
        <w:t>idul privind achizițiile</w:t>
      </w:r>
      <w:r w:rsidR="00625C46" w:rsidRPr="00A9116C">
        <w:rPr>
          <w:rFonts w:cs="Arial"/>
          <w:szCs w:val="22"/>
          <w:lang w:val="ro-RO" w:eastAsia="de-DE"/>
        </w:rPr>
        <w:t>).</w:t>
      </w:r>
    </w:p>
    <w:p w:rsidR="00625C46" w:rsidRPr="00A9116C" w:rsidRDefault="000D6E0C" w:rsidP="00625C46">
      <w:pPr>
        <w:pStyle w:val="berschrift4a"/>
        <w:rPr>
          <w:lang w:val="ro-RO"/>
        </w:rPr>
      </w:pPr>
      <w:r w:rsidRPr="00A9116C">
        <w:rPr>
          <w:szCs w:val="20"/>
          <w:lang w:val="ro-RO" w:eastAsia="de-DE"/>
        </w:rPr>
        <w:t>Agenția de Executare a P</w:t>
      </w:r>
      <w:r w:rsidR="00625C46" w:rsidRPr="00A9116C">
        <w:rPr>
          <w:szCs w:val="20"/>
          <w:lang w:val="ro-RO" w:eastAsia="de-DE"/>
        </w:rPr>
        <w:t xml:space="preserve">roiectului </w:t>
      </w:r>
      <w:r w:rsidRPr="00A9116C">
        <w:rPr>
          <w:szCs w:val="20"/>
          <w:lang w:val="ro-RO" w:eastAsia="de-DE"/>
        </w:rPr>
        <w:t xml:space="preserve">oferă </w:t>
      </w:r>
      <w:r w:rsidR="00625C46" w:rsidRPr="00A9116C">
        <w:rPr>
          <w:szCs w:val="20"/>
          <w:lang w:val="ro-RO" w:eastAsia="de-DE"/>
        </w:rPr>
        <w:t xml:space="preserve">KfW documentele și informațiile relevante necesare pentru monitorizarea și revizuirea </w:t>
      </w:r>
      <w:r w:rsidRPr="00A9116C">
        <w:rPr>
          <w:szCs w:val="20"/>
          <w:lang w:val="ro-RO" w:eastAsia="de-DE"/>
        </w:rPr>
        <w:t xml:space="preserve">de către </w:t>
      </w:r>
      <w:r w:rsidR="00625C46" w:rsidRPr="00A9116C">
        <w:rPr>
          <w:szCs w:val="20"/>
          <w:lang w:val="ro-RO" w:eastAsia="de-DE"/>
        </w:rPr>
        <w:t xml:space="preserve">KfW a procesului de licitație, astfel cum este prezentat în capitolul 1.6 din </w:t>
      </w:r>
      <w:r w:rsidR="00EA1315" w:rsidRPr="00A9116C">
        <w:rPr>
          <w:szCs w:val="20"/>
          <w:lang w:val="ro-RO" w:eastAsia="de-DE"/>
        </w:rPr>
        <w:t>Ghidul privind achizițiile</w:t>
      </w:r>
      <w:r w:rsidR="00625C46" w:rsidRPr="00A9116C">
        <w:rPr>
          <w:szCs w:val="20"/>
          <w:lang w:val="ro-RO" w:eastAsia="de-DE"/>
        </w:rPr>
        <w:t>.</w:t>
      </w:r>
    </w:p>
    <w:p w:rsidR="00625C46" w:rsidRPr="00A9116C" w:rsidRDefault="00A933ED" w:rsidP="00625C46">
      <w:pPr>
        <w:pStyle w:val="berschrift4a"/>
        <w:rPr>
          <w:lang w:val="ro-RO"/>
        </w:rPr>
      </w:pPr>
      <w:r w:rsidRPr="00A9116C">
        <w:rPr>
          <w:szCs w:val="20"/>
          <w:lang w:val="ro-RO" w:eastAsia="de-DE"/>
        </w:rPr>
        <w:t>Clauzele</w:t>
      </w:r>
      <w:r w:rsidR="00625C46" w:rsidRPr="00A9116C">
        <w:rPr>
          <w:szCs w:val="20"/>
          <w:lang w:val="ro-RO" w:eastAsia="de-DE"/>
        </w:rPr>
        <w:t xml:space="preserve"> contractuale descrise în </w:t>
      </w:r>
      <w:r w:rsidRPr="00A9116C">
        <w:rPr>
          <w:szCs w:val="20"/>
          <w:lang w:val="ro-RO" w:eastAsia="de-DE"/>
        </w:rPr>
        <w:t>Ghidul</w:t>
      </w:r>
      <w:r w:rsidR="00625C46" w:rsidRPr="00A9116C">
        <w:rPr>
          <w:szCs w:val="20"/>
          <w:lang w:val="ro-RO" w:eastAsia="de-DE"/>
        </w:rPr>
        <w:t xml:space="preserve"> privind achizițiile (a se vedea capitolul 2.4 și anexel</w:t>
      </w:r>
      <w:r w:rsidRPr="00A9116C">
        <w:rPr>
          <w:szCs w:val="20"/>
          <w:lang w:val="ro-RO" w:eastAsia="de-DE"/>
        </w:rPr>
        <w:t>e 7 (Clauze Contractuale) și 8 (Modele de G</w:t>
      </w:r>
      <w:r w:rsidR="00625C46" w:rsidRPr="00A9116C">
        <w:rPr>
          <w:szCs w:val="20"/>
          <w:lang w:val="ro-RO" w:eastAsia="de-DE"/>
        </w:rPr>
        <w:t xml:space="preserve">aranții și </w:t>
      </w:r>
      <w:r w:rsidR="001D65A0" w:rsidRPr="00A9116C">
        <w:rPr>
          <w:szCs w:val="20"/>
          <w:lang w:val="ro-RO" w:eastAsia="de-DE"/>
        </w:rPr>
        <w:t>Gajuri</w:t>
      </w:r>
      <w:r w:rsidR="00625C46" w:rsidRPr="00A9116C">
        <w:rPr>
          <w:szCs w:val="20"/>
          <w:lang w:val="ro-RO" w:eastAsia="de-DE"/>
        </w:rPr>
        <w:t xml:space="preserve">) la </w:t>
      </w:r>
      <w:r w:rsidR="001D65A0" w:rsidRPr="00A9116C">
        <w:rPr>
          <w:szCs w:val="20"/>
          <w:lang w:val="ro-RO" w:eastAsia="de-DE"/>
        </w:rPr>
        <w:t xml:space="preserve">Ghidul privind </w:t>
      </w:r>
      <w:r w:rsidR="00625C46" w:rsidRPr="00A9116C">
        <w:rPr>
          <w:szCs w:val="20"/>
          <w:lang w:val="ro-RO" w:eastAsia="de-DE"/>
        </w:rPr>
        <w:t>achiziții</w:t>
      </w:r>
      <w:r w:rsidR="001D65A0" w:rsidRPr="00A9116C">
        <w:rPr>
          <w:szCs w:val="20"/>
          <w:lang w:val="ro-RO" w:eastAsia="de-DE"/>
        </w:rPr>
        <w:t>le</w:t>
      </w:r>
      <w:r w:rsidR="00625C46" w:rsidRPr="00A9116C">
        <w:rPr>
          <w:szCs w:val="20"/>
          <w:lang w:val="ro-RO" w:eastAsia="de-DE"/>
        </w:rPr>
        <w:t xml:space="preserve"> </w:t>
      </w:r>
      <w:r w:rsidR="001D65A0" w:rsidRPr="00A9116C">
        <w:rPr>
          <w:szCs w:val="20"/>
          <w:lang w:val="ro-RO" w:eastAsia="de-DE"/>
        </w:rPr>
        <w:t>vor fi incluse</w:t>
      </w:r>
      <w:r w:rsidR="00625C46" w:rsidRPr="00A9116C">
        <w:rPr>
          <w:szCs w:val="20"/>
          <w:lang w:val="ro-RO" w:eastAsia="de-DE"/>
        </w:rPr>
        <w:t xml:space="preserve"> î</w:t>
      </w:r>
      <w:r w:rsidR="001D65A0" w:rsidRPr="00A9116C">
        <w:rPr>
          <w:szCs w:val="20"/>
          <w:lang w:val="ro-RO" w:eastAsia="de-DE"/>
        </w:rPr>
        <w:t>n fiecare contract finanțat în baza</w:t>
      </w:r>
      <w:r w:rsidR="00625C46" w:rsidRPr="00A9116C">
        <w:rPr>
          <w:szCs w:val="20"/>
          <w:lang w:val="ro-RO" w:eastAsia="de-DE"/>
        </w:rPr>
        <w:t xml:space="preserve"> </w:t>
      </w:r>
      <w:r w:rsidR="001D65A0" w:rsidRPr="00A9116C">
        <w:rPr>
          <w:szCs w:val="20"/>
          <w:lang w:val="ro-RO" w:eastAsia="de-DE"/>
        </w:rPr>
        <w:t>Contractului</w:t>
      </w:r>
      <w:r w:rsidR="00625C46" w:rsidRPr="00A9116C">
        <w:rPr>
          <w:szCs w:val="20"/>
          <w:lang w:val="ro-RO" w:eastAsia="de-DE"/>
        </w:rPr>
        <w:t xml:space="preserve"> de finanțare și </w:t>
      </w:r>
      <w:r w:rsidR="001D65A0" w:rsidRPr="00A9116C">
        <w:rPr>
          <w:szCs w:val="20"/>
          <w:lang w:val="ro-RO" w:eastAsia="de-DE"/>
        </w:rPr>
        <w:t xml:space="preserve">de </w:t>
      </w:r>
      <w:r w:rsidR="00625C46" w:rsidRPr="00A9116C">
        <w:rPr>
          <w:szCs w:val="20"/>
          <w:lang w:val="ro-RO" w:eastAsia="de-DE"/>
        </w:rPr>
        <w:t xml:space="preserve">proiect. și, </w:t>
      </w:r>
      <w:r w:rsidR="00076620" w:rsidRPr="00A9116C">
        <w:rPr>
          <w:szCs w:val="20"/>
          <w:lang w:val="ro-RO" w:eastAsia="de-DE"/>
        </w:rPr>
        <w:t>suplimentar</w:t>
      </w:r>
      <w:r w:rsidR="00625C46" w:rsidRPr="00A9116C">
        <w:rPr>
          <w:szCs w:val="20"/>
          <w:lang w:val="ro-RO" w:eastAsia="de-DE"/>
        </w:rPr>
        <w:t xml:space="preserve">, la </w:t>
      </w:r>
      <w:r w:rsidR="00076620" w:rsidRPr="00A9116C">
        <w:rPr>
          <w:szCs w:val="20"/>
          <w:lang w:val="ro-RO" w:eastAsia="de-DE"/>
        </w:rPr>
        <w:t>întocmirea contractelor finanțate în baza</w:t>
      </w:r>
      <w:r w:rsidR="00625C46" w:rsidRPr="00A9116C">
        <w:rPr>
          <w:szCs w:val="20"/>
          <w:lang w:val="ro-RO" w:eastAsia="de-DE"/>
        </w:rPr>
        <w:t xml:space="preserve"> </w:t>
      </w:r>
      <w:r w:rsidR="00076620" w:rsidRPr="00A9116C">
        <w:rPr>
          <w:szCs w:val="20"/>
          <w:lang w:val="ro-RO" w:eastAsia="de-DE"/>
        </w:rPr>
        <w:t>Contractului</w:t>
      </w:r>
      <w:r w:rsidR="00625C46" w:rsidRPr="00A9116C">
        <w:rPr>
          <w:szCs w:val="20"/>
          <w:lang w:val="ro-RO" w:eastAsia="de-DE"/>
        </w:rPr>
        <w:t xml:space="preserve"> de finanțare și </w:t>
      </w:r>
      <w:r w:rsidR="00076620" w:rsidRPr="00A9116C">
        <w:rPr>
          <w:szCs w:val="20"/>
          <w:lang w:val="ro-RO" w:eastAsia="de-DE"/>
        </w:rPr>
        <w:t xml:space="preserve">de </w:t>
      </w:r>
      <w:r w:rsidR="00625C46" w:rsidRPr="00A9116C">
        <w:rPr>
          <w:szCs w:val="20"/>
          <w:lang w:val="ro-RO" w:eastAsia="de-DE"/>
        </w:rPr>
        <w:t>proiect, trebuie respectate următoarele principii:</w:t>
      </w:r>
    </w:p>
    <w:p w:rsidR="00625C46" w:rsidRPr="00A9116C" w:rsidRDefault="00625C46" w:rsidP="00912EE4">
      <w:pPr>
        <w:pStyle w:val="Einrckunga"/>
        <w:numPr>
          <w:ilvl w:val="0"/>
          <w:numId w:val="9"/>
        </w:numPr>
        <w:tabs>
          <w:tab w:val="clear" w:pos="1276"/>
          <w:tab w:val="clear" w:pos="1418"/>
        </w:tabs>
        <w:spacing w:before="240"/>
        <w:ind w:left="851" w:hanging="851"/>
        <w:rPr>
          <w:lang w:val="ro-RO" w:eastAsia="de-DE"/>
        </w:rPr>
      </w:pPr>
      <w:r w:rsidRPr="00A9116C">
        <w:rPr>
          <w:lang w:val="ro-RO" w:eastAsia="de-DE"/>
        </w:rPr>
        <w:t xml:space="preserve">Întrucât drepturile de import nu pot fi finanțate din </w:t>
      </w:r>
      <w:r w:rsidR="00912EE4" w:rsidRPr="00A9116C">
        <w:rPr>
          <w:lang w:val="ro-RO" w:eastAsia="de-DE"/>
        </w:rPr>
        <w:t xml:space="preserve">contul Grantului </w:t>
      </w:r>
      <w:r w:rsidRPr="00A9116C">
        <w:rPr>
          <w:lang w:val="ro-RO" w:eastAsia="de-DE"/>
        </w:rPr>
        <w:t xml:space="preserve">în conformitate cu articolul 1.3 din </w:t>
      </w:r>
      <w:r w:rsidR="00912EE4" w:rsidRPr="00A9116C">
        <w:rPr>
          <w:lang w:val="ro-RO" w:eastAsia="de-DE"/>
        </w:rPr>
        <w:t>Contractul</w:t>
      </w:r>
      <w:r w:rsidRPr="00A9116C">
        <w:rPr>
          <w:lang w:val="ro-RO" w:eastAsia="de-DE"/>
        </w:rPr>
        <w:t xml:space="preserve"> de finanțare și </w:t>
      </w:r>
      <w:r w:rsidR="00912EE4" w:rsidRPr="00A9116C">
        <w:rPr>
          <w:lang w:val="ro-RO" w:eastAsia="de-DE"/>
        </w:rPr>
        <w:t xml:space="preserve">de </w:t>
      </w:r>
      <w:r w:rsidRPr="00A9116C">
        <w:rPr>
          <w:lang w:val="ro-RO" w:eastAsia="de-DE"/>
        </w:rPr>
        <w:t>proiect, aceste taxe de import, dacă fac parte din valoarea contractului, sunt menționate separat în contractele pentru lucrări, ins</w:t>
      </w:r>
      <w:r w:rsidR="00CC786F" w:rsidRPr="00A9116C">
        <w:rPr>
          <w:lang w:val="ro-RO" w:eastAsia="de-DE"/>
        </w:rPr>
        <w:t>talații, bunuri și servicii și</w:t>
      </w:r>
      <w:r w:rsidRPr="00A9116C">
        <w:rPr>
          <w:lang w:val="ro-RO" w:eastAsia="de-DE"/>
        </w:rPr>
        <w:t xml:space="preserve"> în facturi.</w:t>
      </w:r>
    </w:p>
    <w:p w:rsidR="00625C46" w:rsidRPr="00A9116C" w:rsidRDefault="00625C46" w:rsidP="00625C46">
      <w:pPr>
        <w:pStyle w:val="Einrckunga"/>
        <w:numPr>
          <w:ilvl w:val="0"/>
          <w:numId w:val="4"/>
        </w:numPr>
        <w:ind w:left="851" w:hanging="851"/>
        <w:rPr>
          <w:rFonts w:ascii="Arial Fett" w:hAnsi="Arial Fett"/>
          <w:lang w:val="ro-RO"/>
        </w:rPr>
      </w:pPr>
      <w:r w:rsidRPr="00A9116C">
        <w:rPr>
          <w:lang w:val="ro-RO" w:eastAsia="de-DE"/>
        </w:rPr>
        <w:t xml:space="preserve">În cazul în care plățile datorate în baza unui contract pentru lucrări, instalații, bunuri și servicii sunt efectuate din </w:t>
      </w:r>
      <w:r w:rsidR="00CC786F" w:rsidRPr="00A9116C">
        <w:rPr>
          <w:lang w:val="ro-RO" w:eastAsia="de-DE"/>
        </w:rPr>
        <w:t>contul Grantului</w:t>
      </w:r>
      <w:r w:rsidR="001043EC" w:rsidRPr="00A9116C">
        <w:rPr>
          <w:lang w:val="ro-RO" w:eastAsia="de-DE"/>
        </w:rPr>
        <w:t xml:space="preserve">, </w:t>
      </w:r>
      <w:r w:rsidRPr="00A9116C">
        <w:rPr>
          <w:lang w:val="ro-RO" w:eastAsia="de-DE"/>
        </w:rPr>
        <w:t>contract</w:t>
      </w:r>
      <w:r w:rsidR="001043EC" w:rsidRPr="00A9116C">
        <w:rPr>
          <w:lang w:val="ro-RO" w:eastAsia="de-DE"/>
        </w:rPr>
        <w:t>ul respectiv va</w:t>
      </w:r>
      <w:r w:rsidRPr="00A9116C">
        <w:rPr>
          <w:lang w:val="ro-RO" w:eastAsia="de-DE"/>
        </w:rPr>
        <w:t xml:space="preserve"> include o </w:t>
      </w:r>
      <w:r w:rsidR="001043EC" w:rsidRPr="00A9116C">
        <w:rPr>
          <w:lang w:val="ro-RO" w:eastAsia="de-DE"/>
        </w:rPr>
        <w:t>clauză</w:t>
      </w:r>
      <w:r w:rsidRPr="00A9116C">
        <w:rPr>
          <w:lang w:val="ro-RO" w:eastAsia="de-DE"/>
        </w:rPr>
        <w:t xml:space="preserve"> care prevede că orice rambursări, garanții sau </w:t>
      </w:r>
      <w:r w:rsidR="00C109CF" w:rsidRPr="00A9116C">
        <w:rPr>
          <w:lang w:val="ro-RO" w:eastAsia="de-DE"/>
        </w:rPr>
        <w:t xml:space="preserve">alte sume </w:t>
      </w:r>
      <w:r w:rsidRPr="00A9116C">
        <w:rPr>
          <w:lang w:val="ro-RO" w:eastAsia="de-DE"/>
        </w:rPr>
        <w:t xml:space="preserve">similare </w:t>
      </w:r>
      <w:r w:rsidR="00C109CF" w:rsidRPr="00A9116C">
        <w:rPr>
          <w:lang w:val="ro-RO" w:eastAsia="de-DE"/>
        </w:rPr>
        <w:t>plătibile</w:t>
      </w:r>
      <w:r w:rsidRPr="00A9116C">
        <w:rPr>
          <w:lang w:val="ro-RO" w:eastAsia="de-DE"/>
        </w:rPr>
        <w:t xml:space="preserve"> și orice plăți de asigurare trebu</w:t>
      </w:r>
      <w:r w:rsidR="00AF4FC1" w:rsidRPr="00A9116C">
        <w:rPr>
          <w:lang w:val="ro-RO" w:eastAsia="de-DE"/>
        </w:rPr>
        <w:t>ie efectuate din numele</w:t>
      </w:r>
      <w:r w:rsidR="00C109CF" w:rsidRPr="00A9116C">
        <w:rPr>
          <w:lang w:val="ro-RO" w:eastAsia="de-DE"/>
        </w:rPr>
        <w:t xml:space="preserve"> Agenției de Executare a P</w:t>
      </w:r>
      <w:r w:rsidRPr="00A9116C">
        <w:rPr>
          <w:lang w:val="ro-RO" w:eastAsia="de-DE"/>
        </w:rPr>
        <w:t xml:space="preserve">roiectului </w:t>
      </w:r>
      <w:r w:rsidR="00AF4FC1" w:rsidRPr="00A9116C">
        <w:rPr>
          <w:lang w:val="ro-RO" w:eastAsia="de-DE"/>
        </w:rPr>
        <w:t>la următorul cont deschis</w:t>
      </w:r>
      <w:r w:rsidRPr="00A9116C">
        <w:rPr>
          <w:lang w:val="ro-RO" w:eastAsia="de-DE"/>
        </w:rPr>
        <w:t xml:space="preserve"> la KfW, Frankfurt am Main, IBAN: DE53 5002 0400 </w:t>
      </w:r>
      <w:r w:rsidR="005F0A27" w:rsidRPr="00A9116C">
        <w:rPr>
          <w:lang w:val="ro-RO" w:eastAsia="de-DE"/>
        </w:rPr>
        <w:t>3800 0000 00, BIC: KFWIDEFF, iar KfW ulterior creditează</w:t>
      </w:r>
      <w:r w:rsidRPr="00A9116C">
        <w:rPr>
          <w:lang w:val="ro-RO" w:eastAsia="de-DE"/>
        </w:rPr>
        <w:t xml:space="preserve"> </w:t>
      </w:r>
      <w:r w:rsidR="005F0A27" w:rsidRPr="00A9116C">
        <w:rPr>
          <w:lang w:val="ro-RO" w:eastAsia="de-DE"/>
        </w:rPr>
        <w:t>aceste plăți</w:t>
      </w:r>
      <w:r w:rsidRPr="00A9116C">
        <w:rPr>
          <w:lang w:val="ro-RO" w:eastAsia="de-DE"/>
        </w:rPr>
        <w:t xml:space="preserve"> </w:t>
      </w:r>
      <w:r w:rsidR="005F0A27" w:rsidRPr="00A9116C">
        <w:rPr>
          <w:lang w:val="ro-RO" w:eastAsia="de-DE"/>
        </w:rPr>
        <w:t xml:space="preserve">în contul Agenției de Executare a Proiectului. Dacă </w:t>
      </w:r>
      <w:r w:rsidRPr="00A9116C">
        <w:rPr>
          <w:lang w:val="ro-RO" w:eastAsia="de-DE"/>
        </w:rPr>
        <w:t>plăți</w:t>
      </w:r>
      <w:r w:rsidR="005F0A27" w:rsidRPr="00A9116C">
        <w:rPr>
          <w:lang w:val="ro-RO" w:eastAsia="de-DE"/>
        </w:rPr>
        <w:t>le</w:t>
      </w:r>
      <w:r w:rsidRPr="00A9116C">
        <w:rPr>
          <w:lang w:val="ro-RO" w:eastAsia="de-DE"/>
        </w:rPr>
        <w:t xml:space="preserve"> se efectuează în monedă locală, acest</w:t>
      </w:r>
      <w:r w:rsidR="00D35B98" w:rsidRPr="00A9116C">
        <w:rPr>
          <w:lang w:val="ro-RO" w:eastAsia="de-DE"/>
        </w:rPr>
        <w:t>e plăți vor fi efectuate la un</w:t>
      </w:r>
      <w:r w:rsidRPr="00A9116C">
        <w:rPr>
          <w:lang w:val="ro-RO" w:eastAsia="de-DE"/>
        </w:rPr>
        <w:t xml:space="preserve"> cont special al Agenției de Executare a Proiectului din țara Agenției de Executare a Proiectului și pot fi achitate în continuare numai cu acordul prealabil scris al KfW. Aceste fonduri po</w:t>
      </w:r>
      <w:r w:rsidR="00D35B98" w:rsidRPr="00A9116C">
        <w:rPr>
          <w:lang w:val="ro-RO" w:eastAsia="de-DE"/>
        </w:rPr>
        <w:t xml:space="preserve">t fi reutilizate pentru </w:t>
      </w:r>
      <w:r w:rsidR="00E84F2B" w:rsidRPr="00A9116C">
        <w:rPr>
          <w:lang w:val="ro-RO" w:eastAsia="de-DE"/>
        </w:rPr>
        <w:t>executarea</w:t>
      </w:r>
      <w:r w:rsidRPr="00A9116C">
        <w:rPr>
          <w:lang w:val="ro-RO" w:eastAsia="de-DE"/>
        </w:rPr>
        <w:t xml:space="preserve"> Proiectului cu acordul prealabil scris al KfW.</w:t>
      </w:r>
    </w:p>
    <w:p w:rsidR="00625C46" w:rsidRPr="00A9116C" w:rsidRDefault="00E84F2B" w:rsidP="00625C46">
      <w:pPr>
        <w:pStyle w:val="3"/>
        <w:numPr>
          <w:ilvl w:val="2"/>
          <w:numId w:val="6"/>
        </w:numPr>
        <w:rPr>
          <w:lang w:val="ro-RO"/>
        </w:rPr>
      </w:pPr>
      <w:r w:rsidRPr="00A9116C">
        <w:rPr>
          <w:b/>
          <w:u w:val="single"/>
          <w:lang w:val="ro-RO"/>
        </w:rPr>
        <w:t xml:space="preserve">Acorduri Speciale de Implementare </w:t>
      </w:r>
    </w:p>
    <w:p w:rsidR="00625C46" w:rsidRPr="00A9116C" w:rsidRDefault="00625C46" w:rsidP="00625C46">
      <w:pPr>
        <w:rPr>
          <w:rFonts w:cs="Arial"/>
          <w:szCs w:val="22"/>
          <w:u w:val="single"/>
          <w:lang w:val="ro-RO"/>
        </w:rPr>
      </w:pPr>
      <w:r w:rsidRPr="00A9116C">
        <w:rPr>
          <w:lang w:val="ro-RO" w:eastAsia="de-DE"/>
        </w:rPr>
        <w:t xml:space="preserve">2.4.1 </w:t>
      </w:r>
      <w:r w:rsidRPr="00A9116C">
        <w:rPr>
          <w:lang w:val="ro-RO" w:eastAsia="de-DE"/>
        </w:rPr>
        <w:tab/>
      </w:r>
      <w:r w:rsidR="00E84F2B" w:rsidRPr="00A9116C">
        <w:rPr>
          <w:rFonts w:cs="Arial"/>
          <w:szCs w:val="22"/>
          <w:u w:val="single"/>
          <w:lang w:val="ro-RO"/>
        </w:rPr>
        <w:t xml:space="preserve">Înainte de semnarea contractului de consultanță: </w:t>
      </w:r>
    </w:p>
    <w:p w:rsidR="00625C46" w:rsidRPr="00A9116C" w:rsidRDefault="005A103C" w:rsidP="00625C46">
      <w:pPr>
        <w:pStyle w:val="aff5"/>
        <w:numPr>
          <w:ilvl w:val="0"/>
          <w:numId w:val="31"/>
        </w:numPr>
        <w:rPr>
          <w:szCs w:val="22"/>
          <w:lang w:val="ro-RO" w:eastAsia="de-DE"/>
        </w:rPr>
      </w:pPr>
      <w:r w:rsidRPr="00A9116C">
        <w:rPr>
          <w:szCs w:val="22"/>
          <w:lang w:val="ro-RO" w:eastAsia="de-DE"/>
        </w:rPr>
        <w:t xml:space="preserve">ADR Centru oferă KfW regulamentul grupului de lucru </w:t>
      </w:r>
      <w:r w:rsidR="00625C46" w:rsidRPr="00A9116C">
        <w:rPr>
          <w:szCs w:val="22"/>
          <w:lang w:val="ro-RO" w:eastAsia="de-DE"/>
        </w:rPr>
        <w:t>A</w:t>
      </w:r>
      <w:r w:rsidRPr="00A9116C">
        <w:rPr>
          <w:szCs w:val="22"/>
          <w:lang w:val="ro-RO" w:eastAsia="de-DE"/>
        </w:rPr>
        <w:t>EP</w:t>
      </w:r>
      <w:r w:rsidR="00C85BE9" w:rsidRPr="00A9116C">
        <w:rPr>
          <w:szCs w:val="22"/>
          <w:lang w:val="ro-RO" w:eastAsia="de-DE"/>
        </w:rPr>
        <w:t xml:space="preserve"> care stabilește responsabilitățile</w:t>
      </w:r>
      <w:r w:rsidR="00625C46" w:rsidRPr="00A9116C">
        <w:rPr>
          <w:szCs w:val="22"/>
          <w:lang w:val="ro-RO" w:eastAsia="de-DE"/>
        </w:rPr>
        <w:t xml:space="preserve"> și care este semnat de toate entitățile </w:t>
      </w:r>
      <w:r w:rsidR="006049C5" w:rsidRPr="00A9116C">
        <w:rPr>
          <w:szCs w:val="22"/>
          <w:lang w:val="ro-RO" w:eastAsia="de-DE"/>
        </w:rPr>
        <w:t>din care provin membrii</w:t>
      </w:r>
      <w:r w:rsidR="00625C46" w:rsidRPr="00A9116C">
        <w:rPr>
          <w:szCs w:val="22"/>
          <w:lang w:val="ro-RO" w:eastAsia="de-DE"/>
        </w:rPr>
        <w:t xml:space="preserve"> grupul</w:t>
      </w:r>
      <w:r w:rsidR="006049C5" w:rsidRPr="00A9116C">
        <w:rPr>
          <w:szCs w:val="22"/>
          <w:lang w:val="ro-RO" w:eastAsia="de-DE"/>
        </w:rPr>
        <w:t xml:space="preserve">ui de lucru </w:t>
      </w:r>
      <w:r w:rsidR="00625C46" w:rsidRPr="00A9116C">
        <w:rPr>
          <w:szCs w:val="22"/>
          <w:lang w:val="ro-RO" w:eastAsia="de-DE"/>
        </w:rPr>
        <w:t>A</w:t>
      </w:r>
      <w:r w:rsidR="006049C5" w:rsidRPr="00A9116C">
        <w:rPr>
          <w:szCs w:val="22"/>
          <w:lang w:val="ro-RO" w:eastAsia="de-DE"/>
        </w:rPr>
        <w:t>EP</w:t>
      </w:r>
      <w:r w:rsidR="00625C46" w:rsidRPr="00A9116C">
        <w:rPr>
          <w:szCs w:val="22"/>
          <w:lang w:val="ro-RO" w:eastAsia="de-DE"/>
        </w:rPr>
        <w:t>.</w:t>
      </w:r>
    </w:p>
    <w:p w:rsidR="00625C46" w:rsidRPr="00A9116C" w:rsidRDefault="00625C46" w:rsidP="00625C46">
      <w:pPr>
        <w:pStyle w:val="aff5"/>
        <w:ind w:left="851"/>
        <w:rPr>
          <w:szCs w:val="22"/>
          <w:lang w:val="ro-RO" w:eastAsia="de-DE"/>
        </w:rPr>
      </w:pPr>
    </w:p>
    <w:p w:rsidR="00625C46" w:rsidRPr="00A9116C" w:rsidRDefault="0000365D" w:rsidP="00625C46">
      <w:pPr>
        <w:pStyle w:val="aff5"/>
        <w:numPr>
          <w:ilvl w:val="2"/>
          <w:numId w:val="32"/>
        </w:numPr>
        <w:spacing w:after="120" w:line="276" w:lineRule="auto"/>
        <w:ind w:left="851" w:hanging="851"/>
        <w:rPr>
          <w:rFonts w:cs="Arial"/>
          <w:szCs w:val="22"/>
          <w:u w:val="single"/>
          <w:lang w:val="ro-RO"/>
        </w:rPr>
      </w:pPr>
      <w:r w:rsidRPr="00A9116C">
        <w:rPr>
          <w:rFonts w:cs="Arial"/>
          <w:szCs w:val="22"/>
          <w:u w:val="single"/>
          <w:lang w:val="ro-RO"/>
        </w:rPr>
        <w:t xml:space="preserve">Înainte de licitația primului contract de construcție: </w:t>
      </w:r>
    </w:p>
    <w:p w:rsidR="00625C46" w:rsidRPr="00626846" w:rsidRDefault="0000365D" w:rsidP="00625C46">
      <w:pPr>
        <w:pStyle w:val="aff5"/>
        <w:numPr>
          <w:ilvl w:val="0"/>
          <w:numId w:val="26"/>
        </w:numPr>
        <w:spacing w:after="200" w:line="276" w:lineRule="auto"/>
        <w:rPr>
          <w:rFonts w:cs="Arial"/>
          <w:color w:val="FF0000"/>
          <w:szCs w:val="24"/>
          <w:lang w:val="ro-RO" w:eastAsia="de-DE"/>
        </w:rPr>
      </w:pPr>
      <w:r w:rsidRPr="00626846">
        <w:rPr>
          <w:rFonts w:cs="Arial"/>
          <w:color w:val="FF0000"/>
          <w:szCs w:val="24"/>
          <w:lang w:val="ro-RO" w:eastAsia="de-DE"/>
        </w:rPr>
        <w:t xml:space="preserve">Apă </w:t>
      </w:r>
      <w:r w:rsidR="00625C46" w:rsidRPr="00626846">
        <w:rPr>
          <w:rFonts w:cs="Arial"/>
          <w:color w:val="FF0000"/>
          <w:szCs w:val="24"/>
          <w:lang w:val="ro-RO" w:eastAsia="de-DE"/>
        </w:rPr>
        <w:t xml:space="preserve">Canal Chișinău prin </w:t>
      </w:r>
      <w:r w:rsidRPr="00626846">
        <w:rPr>
          <w:rFonts w:cs="Arial"/>
          <w:color w:val="FF0000"/>
          <w:szCs w:val="24"/>
          <w:lang w:val="ro-RO" w:eastAsia="de-DE"/>
        </w:rPr>
        <w:t>ADR Cent</w:t>
      </w:r>
      <w:r w:rsidR="00625C46" w:rsidRPr="00626846">
        <w:rPr>
          <w:rFonts w:cs="Arial"/>
          <w:color w:val="FF0000"/>
          <w:szCs w:val="24"/>
          <w:lang w:val="ro-RO" w:eastAsia="de-DE"/>
        </w:rPr>
        <w:t>r</w:t>
      </w:r>
      <w:r w:rsidRPr="00626846">
        <w:rPr>
          <w:rFonts w:cs="Arial"/>
          <w:color w:val="FF0000"/>
          <w:szCs w:val="24"/>
          <w:lang w:val="ro-RO" w:eastAsia="de-DE"/>
        </w:rPr>
        <w:t>u</w:t>
      </w:r>
      <w:r w:rsidR="004A595C" w:rsidRPr="00626846">
        <w:rPr>
          <w:rFonts w:cs="Arial"/>
          <w:color w:val="FF0000"/>
          <w:szCs w:val="24"/>
          <w:lang w:val="ro-RO" w:eastAsia="de-DE"/>
        </w:rPr>
        <w:t xml:space="preserve"> furnizează KfW teste recent</w:t>
      </w:r>
      <w:r w:rsidR="00E96A35" w:rsidRPr="00626846">
        <w:rPr>
          <w:rFonts w:cs="Arial"/>
          <w:color w:val="FF0000"/>
          <w:szCs w:val="24"/>
          <w:lang w:val="ro-RO" w:eastAsia="de-DE"/>
        </w:rPr>
        <w:t xml:space="preserve"> efectuate</w:t>
      </w:r>
      <w:r w:rsidR="004A595C" w:rsidRPr="00626846">
        <w:rPr>
          <w:rFonts w:cs="Arial"/>
          <w:color w:val="FF0000"/>
          <w:szCs w:val="24"/>
          <w:lang w:val="ro-RO" w:eastAsia="de-DE"/>
        </w:rPr>
        <w:t xml:space="preserve"> ale calității</w:t>
      </w:r>
      <w:r w:rsidR="00625C46" w:rsidRPr="00626846">
        <w:rPr>
          <w:rFonts w:cs="Arial"/>
          <w:color w:val="FF0000"/>
          <w:szCs w:val="24"/>
          <w:lang w:val="ro-RO" w:eastAsia="de-DE"/>
        </w:rPr>
        <w:t xml:space="preserve"> apei de la stația de tratare a apei </w:t>
      </w:r>
      <w:r w:rsidR="006C3D3B" w:rsidRPr="00626846">
        <w:rPr>
          <w:rFonts w:cs="Arial"/>
          <w:color w:val="FF0000"/>
          <w:szCs w:val="24"/>
          <w:lang w:val="ro-RO" w:eastAsia="de-DE"/>
        </w:rPr>
        <w:t>provenind din</w:t>
      </w:r>
      <w:r w:rsidR="00625C46" w:rsidRPr="00626846">
        <w:rPr>
          <w:rFonts w:cs="Arial"/>
          <w:color w:val="FF0000"/>
          <w:szCs w:val="24"/>
          <w:lang w:val="ro-RO" w:eastAsia="de-DE"/>
        </w:rPr>
        <w:t xml:space="preserve"> râului </w:t>
      </w:r>
      <w:r w:rsidR="006C3D3B" w:rsidRPr="00626846">
        <w:rPr>
          <w:rFonts w:cs="Arial"/>
          <w:color w:val="FF0000"/>
          <w:szCs w:val="24"/>
          <w:lang w:val="ro-RO" w:eastAsia="de-DE"/>
        </w:rPr>
        <w:t>Nistru</w:t>
      </w:r>
      <w:r w:rsidR="00625C46" w:rsidRPr="00626846">
        <w:rPr>
          <w:rFonts w:cs="Arial"/>
          <w:color w:val="FF0000"/>
          <w:szCs w:val="24"/>
          <w:lang w:val="ro-RO" w:eastAsia="de-DE"/>
        </w:rPr>
        <w:t xml:space="preserve"> și din vi</w:t>
      </w:r>
      <w:r w:rsidR="00C870F9" w:rsidRPr="00626846">
        <w:rPr>
          <w:rFonts w:cs="Arial"/>
          <w:color w:val="FF0000"/>
          <w:szCs w:val="24"/>
          <w:lang w:val="ro-RO" w:eastAsia="de-DE"/>
        </w:rPr>
        <w:t>itorul punct de conectare la conducta principală</w:t>
      </w:r>
      <w:r w:rsidR="00625C46" w:rsidRPr="00626846">
        <w:rPr>
          <w:rFonts w:cs="Arial"/>
          <w:color w:val="FF0000"/>
          <w:szCs w:val="24"/>
          <w:lang w:val="ro-RO" w:eastAsia="de-DE"/>
        </w:rPr>
        <w:t xml:space="preserve"> </w:t>
      </w:r>
      <w:r w:rsidR="00DA2F52" w:rsidRPr="00626846">
        <w:rPr>
          <w:rFonts w:cs="Arial"/>
          <w:color w:val="FF0000"/>
          <w:szCs w:val="24"/>
          <w:lang w:val="ro-RO" w:eastAsia="de-DE"/>
        </w:rPr>
        <w:t>la</w:t>
      </w:r>
      <w:r w:rsidR="00625C46" w:rsidRPr="00626846">
        <w:rPr>
          <w:rFonts w:cs="Arial"/>
          <w:color w:val="FF0000"/>
          <w:szCs w:val="24"/>
          <w:lang w:val="ro-RO" w:eastAsia="de-DE"/>
        </w:rPr>
        <w:t xml:space="preserve"> Strășeni și Călărași, </w:t>
      </w:r>
      <w:r w:rsidR="00FA23C2" w:rsidRPr="00626846">
        <w:rPr>
          <w:rFonts w:cs="Arial"/>
          <w:color w:val="FF0000"/>
          <w:szCs w:val="24"/>
          <w:lang w:val="ro-RO" w:eastAsia="de-DE"/>
        </w:rPr>
        <w:t xml:space="preserve">prin care se </w:t>
      </w:r>
      <w:r w:rsidR="00625C46" w:rsidRPr="00626846">
        <w:rPr>
          <w:rFonts w:cs="Arial"/>
          <w:color w:val="FF0000"/>
          <w:szCs w:val="24"/>
          <w:lang w:val="ro-RO" w:eastAsia="de-DE"/>
        </w:rPr>
        <w:t>confirm</w:t>
      </w:r>
      <w:r w:rsidR="00FA23C2" w:rsidRPr="00626846">
        <w:rPr>
          <w:rFonts w:cs="Arial"/>
          <w:color w:val="FF0000"/>
          <w:szCs w:val="24"/>
          <w:lang w:val="ro-RO" w:eastAsia="de-DE"/>
        </w:rPr>
        <w:t>ă că parametrii de</w:t>
      </w:r>
      <w:r w:rsidR="00625C46" w:rsidRPr="00626846">
        <w:rPr>
          <w:rFonts w:cs="Arial"/>
          <w:color w:val="FF0000"/>
          <w:szCs w:val="24"/>
          <w:lang w:val="ro-RO" w:eastAsia="de-DE"/>
        </w:rPr>
        <w:t xml:space="preserve"> calitate </w:t>
      </w:r>
      <w:r w:rsidR="00FA23C2" w:rsidRPr="00626846">
        <w:rPr>
          <w:rFonts w:cs="Arial"/>
          <w:color w:val="FF0000"/>
          <w:szCs w:val="24"/>
          <w:lang w:val="ro-RO" w:eastAsia="de-DE"/>
        </w:rPr>
        <w:t xml:space="preserve">a </w:t>
      </w:r>
      <w:r w:rsidR="00625C46" w:rsidRPr="00626846">
        <w:rPr>
          <w:rFonts w:cs="Arial"/>
          <w:color w:val="FF0000"/>
          <w:szCs w:val="24"/>
          <w:lang w:val="ro-RO" w:eastAsia="de-DE"/>
        </w:rPr>
        <w:t xml:space="preserve">apei </w:t>
      </w:r>
      <w:r w:rsidR="00CF0A51" w:rsidRPr="00626846">
        <w:rPr>
          <w:rFonts w:cs="Arial"/>
          <w:color w:val="FF0000"/>
          <w:szCs w:val="24"/>
          <w:lang w:val="ro-RO" w:eastAsia="de-DE"/>
        </w:rPr>
        <w:t xml:space="preserve">corespund </w:t>
      </w:r>
      <w:r w:rsidR="00DA2F52" w:rsidRPr="00626846">
        <w:rPr>
          <w:rFonts w:cs="Arial"/>
          <w:color w:val="FF0000"/>
          <w:szCs w:val="24"/>
          <w:lang w:val="ro-RO" w:eastAsia="de-DE"/>
        </w:rPr>
        <w:t>normelor naționale</w:t>
      </w:r>
      <w:r w:rsidR="00625C46" w:rsidRPr="00626846">
        <w:rPr>
          <w:rFonts w:cs="Arial"/>
          <w:color w:val="FF0000"/>
          <w:szCs w:val="24"/>
          <w:lang w:val="ro-RO" w:eastAsia="de-DE"/>
        </w:rPr>
        <w:t xml:space="preserve"> și </w:t>
      </w:r>
      <w:r w:rsidR="00DA2F52" w:rsidRPr="00626846">
        <w:rPr>
          <w:rFonts w:cs="Arial"/>
          <w:color w:val="FF0000"/>
          <w:szCs w:val="24"/>
          <w:lang w:val="ro-RO" w:eastAsia="de-DE"/>
        </w:rPr>
        <w:t>direct</w:t>
      </w:r>
      <w:r w:rsidR="00CF0A51" w:rsidRPr="00626846">
        <w:rPr>
          <w:rFonts w:cs="Arial"/>
          <w:color w:val="FF0000"/>
          <w:szCs w:val="24"/>
          <w:lang w:val="ro-RO" w:eastAsia="de-DE"/>
        </w:rPr>
        <w:t>ivei UE 98/83/</w:t>
      </w:r>
      <w:r w:rsidR="00625C46" w:rsidRPr="00626846">
        <w:rPr>
          <w:rFonts w:cs="Arial"/>
          <w:color w:val="FF0000"/>
          <w:szCs w:val="24"/>
          <w:lang w:val="ro-RO" w:eastAsia="de-DE"/>
        </w:rPr>
        <w:t>CE.</w:t>
      </w:r>
    </w:p>
    <w:p w:rsidR="00625C46" w:rsidRPr="00626846" w:rsidRDefault="00CF0A51" w:rsidP="00625C46">
      <w:pPr>
        <w:pStyle w:val="aff5"/>
        <w:numPr>
          <w:ilvl w:val="0"/>
          <w:numId w:val="26"/>
        </w:numPr>
        <w:spacing w:after="200" w:line="276" w:lineRule="auto"/>
        <w:rPr>
          <w:rFonts w:cs="Arial"/>
          <w:color w:val="FF0000"/>
          <w:szCs w:val="24"/>
          <w:lang w:val="ro-RO" w:eastAsia="de-DE"/>
        </w:rPr>
      </w:pPr>
      <w:r w:rsidRPr="00626846">
        <w:rPr>
          <w:rFonts w:cs="Arial"/>
          <w:color w:val="FF0000"/>
          <w:szCs w:val="24"/>
          <w:lang w:val="ro-RO" w:eastAsia="de-DE"/>
        </w:rPr>
        <w:lastRenderedPageBreak/>
        <w:t>ADR Centru</w:t>
      </w:r>
      <w:r w:rsidR="00625C46" w:rsidRPr="00626846">
        <w:rPr>
          <w:rFonts w:cs="Arial"/>
          <w:color w:val="FF0000"/>
          <w:szCs w:val="24"/>
          <w:lang w:val="ro-RO" w:eastAsia="de-DE"/>
        </w:rPr>
        <w:t xml:space="preserve"> </w:t>
      </w:r>
      <w:r w:rsidR="00D71DE5" w:rsidRPr="00626846">
        <w:rPr>
          <w:rFonts w:cs="Arial"/>
          <w:color w:val="FF0000"/>
          <w:szCs w:val="24"/>
          <w:lang w:val="ro-RO" w:eastAsia="de-DE"/>
        </w:rPr>
        <w:t xml:space="preserve">va oferi </w:t>
      </w:r>
      <w:r w:rsidR="00625C46" w:rsidRPr="00626846">
        <w:rPr>
          <w:rFonts w:cs="Arial"/>
          <w:color w:val="FF0000"/>
          <w:szCs w:val="24"/>
          <w:lang w:val="ro-RO" w:eastAsia="de-DE"/>
        </w:rPr>
        <w:t>KfW</w:t>
      </w:r>
      <w:r w:rsidR="00136B27" w:rsidRPr="00626846">
        <w:rPr>
          <w:rFonts w:cs="Arial"/>
          <w:color w:val="FF0000"/>
          <w:szCs w:val="24"/>
          <w:lang w:val="ro-RO" w:eastAsia="de-DE"/>
        </w:rPr>
        <w:t>,</w:t>
      </w:r>
      <w:r w:rsidR="00D71DE5" w:rsidRPr="00626846">
        <w:rPr>
          <w:rFonts w:cs="Arial"/>
          <w:color w:val="FF0000"/>
          <w:szCs w:val="24"/>
          <w:lang w:val="ro-RO" w:eastAsia="de-DE"/>
        </w:rPr>
        <w:t xml:space="preserve"> o confirmare scrisă, satisfăcătoare după formă și conținut, </w:t>
      </w:r>
      <w:r w:rsidR="00625C46" w:rsidRPr="00626846">
        <w:rPr>
          <w:rFonts w:cs="Arial"/>
          <w:color w:val="FF0000"/>
          <w:szCs w:val="24"/>
          <w:lang w:val="ro-RO" w:eastAsia="de-DE"/>
        </w:rPr>
        <w:t xml:space="preserve">care să demonstreze că </w:t>
      </w:r>
      <w:r w:rsidR="007B5CFB" w:rsidRPr="00626846">
        <w:rPr>
          <w:rFonts w:cs="Arial"/>
          <w:color w:val="FF0000"/>
          <w:szCs w:val="24"/>
          <w:lang w:val="ro-RO" w:eastAsia="de-DE"/>
        </w:rPr>
        <w:t xml:space="preserve">chestiunile </w:t>
      </w:r>
      <w:r w:rsidR="004276C3" w:rsidRPr="00626846">
        <w:rPr>
          <w:rFonts w:cs="Arial"/>
          <w:color w:val="FF0000"/>
          <w:szCs w:val="24"/>
          <w:lang w:val="ro-RO" w:eastAsia="de-DE"/>
        </w:rPr>
        <w:t>nesoluționa</w:t>
      </w:r>
      <w:r w:rsidR="007B5CFB" w:rsidRPr="00626846">
        <w:rPr>
          <w:rFonts w:cs="Arial"/>
          <w:color w:val="FF0000"/>
          <w:szCs w:val="24"/>
          <w:lang w:val="ro-RO" w:eastAsia="de-DE"/>
        </w:rPr>
        <w:t>t</w:t>
      </w:r>
      <w:r w:rsidR="004276C3" w:rsidRPr="00626846">
        <w:rPr>
          <w:rFonts w:cs="Arial"/>
          <w:color w:val="FF0000"/>
          <w:szCs w:val="24"/>
          <w:lang w:val="ro-RO" w:eastAsia="de-DE"/>
        </w:rPr>
        <w:t xml:space="preserve">e </w:t>
      </w:r>
      <w:r w:rsidR="007B5CFB" w:rsidRPr="00626846">
        <w:rPr>
          <w:rFonts w:cs="Arial"/>
          <w:color w:val="FF0000"/>
          <w:szCs w:val="24"/>
          <w:lang w:val="ro-RO" w:eastAsia="de-DE"/>
        </w:rPr>
        <w:t>privind</w:t>
      </w:r>
      <w:r w:rsidR="00625C46" w:rsidRPr="00626846">
        <w:rPr>
          <w:rFonts w:cs="Arial"/>
          <w:color w:val="FF0000"/>
          <w:szCs w:val="24"/>
          <w:lang w:val="ro-RO" w:eastAsia="de-DE"/>
        </w:rPr>
        <w:t xml:space="preserve"> </w:t>
      </w:r>
      <w:r w:rsidR="007B5CFB" w:rsidRPr="00626846">
        <w:rPr>
          <w:rFonts w:cs="Arial"/>
          <w:color w:val="FF0000"/>
          <w:szCs w:val="24"/>
          <w:lang w:val="ro-RO" w:eastAsia="de-DE"/>
        </w:rPr>
        <w:t xml:space="preserve">dreptul de </w:t>
      </w:r>
      <w:r w:rsidR="00625C46" w:rsidRPr="00626846">
        <w:rPr>
          <w:rFonts w:cs="Arial"/>
          <w:color w:val="FF0000"/>
          <w:szCs w:val="24"/>
          <w:lang w:val="ro-RO" w:eastAsia="de-DE"/>
        </w:rPr>
        <w:t>propriet</w:t>
      </w:r>
      <w:r w:rsidR="007B5CFB" w:rsidRPr="00626846">
        <w:rPr>
          <w:rFonts w:cs="Arial"/>
          <w:color w:val="FF0000"/>
          <w:szCs w:val="24"/>
          <w:lang w:val="ro-RO" w:eastAsia="de-DE"/>
        </w:rPr>
        <w:t xml:space="preserve">ate asupra </w:t>
      </w:r>
      <w:r w:rsidR="00B55C35" w:rsidRPr="00626846">
        <w:rPr>
          <w:rFonts w:cs="Arial"/>
          <w:color w:val="FF0000"/>
          <w:szCs w:val="24"/>
          <w:lang w:val="ro-RO" w:eastAsia="de-DE"/>
        </w:rPr>
        <w:t>proprietății</w:t>
      </w:r>
      <w:r w:rsidR="00625C46" w:rsidRPr="00626846">
        <w:rPr>
          <w:rFonts w:cs="Arial"/>
          <w:color w:val="FF0000"/>
          <w:szCs w:val="24"/>
          <w:lang w:val="ro-RO" w:eastAsia="de-DE"/>
        </w:rPr>
        <w:t xml:space="preserve"> funciare au fost soluționate. Orice cost</w:t>
      </w:r>
      <w:r w:rsidR="004F175E" w:rsidRPr="00626846">
        <w:rPr>
          <w:rFonts w:cs="Arial"/>
          <w:color w:val="FF0000"/>
          <w:szCs w:val="24"/>
          <w:lang w:val="ro-RO" w:eastAsia="de-DE"/>
        </w:rPr>
        <w:t>uri</w:t>
      </w:r>
      <w:r w:rsidR="00625C46" w:rsidRPr="00626846">
        <w:rPr>
          <w:rFonts w:cs="Arial"/>
          <w:color w:val="FF0000"/>
          <w:szCs w:val="24"/>
          <w:lang w:val="ro-RO" w:eastAsia="de-DE"/>
        </w:rPr>
        <w:t xml:space="preserve"> </w:t>
      </w:r>
      <w:r w:rsidR="001F5C4E" w:rsidRPr="00626846">
        <w:rPr>
          <w:rFonts w:cs="Arial"/>
          <w:color w:val="FF0000"/>
          <w:szCs w:val="24"/>
          <w:lang w:val="ro-RO" w:eastAsia="de-DE"/>
        </w:rPr>
        <w:t>din timpul</w:t>
      </w:r>
      <w:r w:rsidR="00625C46" w:rsidRPr="00626846">
        <w:rPr>
          <w:rFonts w:cs="Arial"/>
          <w:color w:val="FF0000"/>
          <w:szCs w:val="24"/>
          <w:lang w:val="ro-RO" w:eastAsia="de-DE"/>
        </w:rPr>
        <w:t xml:space="preserve"> construcției</w:t>
      </w:r>
      <w:r w:rsidR="001F5C4E" w:rsidRPr="00626846">
        <w:rPr>
          <w:rFonts w:cs="Arial"/>
          <w:color w:val="FF0000"/>
          <w:szCs w:val="24"/>
          <w:lang w:val="ro-RO" w:eastAsia="de-DE"/>
        </w:rPr>
        <w:t>,</w:t>
      </w:r>
      <w:r w:rsidR="00625C46" w:rsidRPr="00626846">
        <w:rPr>
          <w:rFonts w:cs="Arial"/>
          <w:color w:val="FF0000"/>
          <w:szCs w:val="24"/>
          <w:lang w:val="ro-RO" w:eastAsia="de-DE"/>
        </w:rPr>
        <w:t xml:space="preserve"> care rezultă din problemele </w:t>
      </w:r>
      <w:r w:rsidR="001F5C4E" w:rsidRPr="00626846">
        <w:rPr>
          <w:rFonts w:cs="Arial"/>
          <w:color w:val="FF0000"/>
          <w:szCs w:val="24"/>
          <w:lang w:val="ro-RO" w:eastAsia="de-DE"/>
        </w:rPr>
        <w:t>amânate aferente proprietății funciare</w:t>
      </w:r>
      <w:r w:rsidR="00625C46" w:rsidRPr="00626846">
        <w:rPr>
          <w:rFonts w:cs="Arial"/>
          <w:color w:val="FF0000"/>
          <w:szCs w:val="24"/>
          <w:lang w:val="ro-RO" w:eastAsia="de-DE"/>
        </w:rPr>
        <w:t xml:space="preserve"> vor fi suportate de către Beneficiar.</w:t>
      </w:r>
    </w:p>
    <w:p w:rsidR="00625C46" w:rsidRPr="00A9116C" w:rsidRDefault="00E470D0" w:rsidP="00625C46">
      <w:pPr>
        <w:pStyle w:val="aff5"/>
        <w:numPr>
          <w:ilvl w:val="0"/>
          <w:numId w:val="26"/>
        </w:numPr>
        <w:spacing w:after="200" w:line="276" w:lineRule="auto"/>
        <w:rPr>
          <w:rFonts w:cs="Arial"/>
          <w:szCs w:val="24"/>
          <w:lang w:val="ro-RO" w:eastAsia="de-DE"/>
        </w:rPr>
      </w:pPr>
      <w:r w:rsidRPr="00A9116C">
        <w:rPr>
          <w:lang w:val="ro-RO"/>
        </w:rPr>
        <w:t xml:space="preserve">ADR </w:t>
      </w:r>
      <w:r w:rsidRPr="00A9116C">
        <w:rPr>
          <w:rFonts w:cs="Arial"/>
          <w:szCs w:val="24"/>
          <w:lang w:val="ro-RO" w:eastAsia="de-DE"/>
        </w:rPr>
        <w:t>Centru oferă</w:t>
      </w:r>
      <w:r w:rsidR="00625C46" w:rsidRPr="00A9116C">
        <w:rPr>
          <w:rFonts w:cs="Arial"/>
          <w:szCs w:val="24"/>
          <w:lang w:val="ro-RO" w:eastAsia="de-DE"/>
        </w:rPr>
        <w:t xml:space="preserve"> KfW</w:t>
      </w:r>
      <w:r w:rsidRPr="00A9116C">
        <w:rPr>
          <w:rFonts w:cs="Arial"/>
          <w:szCs w:val="24"/>
          <w:lang w:val="ro-RO" w:eastAsia="de-DE"/>
        </w:rPr>
        <w:t>,</w:t>
      </w:r>
      <w:r w:rsidR="00625C46" w:rsidRPr="00A9116C">
        <w:rPr>
          <w:rFonts w:cs="Arial"/>
          <w:szCs w:val="24"/>
          <w:lang w:val="ro-RO" w:eastAsia="de-DE"/>
        </w:rPr>
        <w:t xml:space="preserve"> dovezi satisfăcătoare în formă și conținut, că toate problemele operaționale (responsabilități, obligații, costuri etc.) au fost convenite într-un mod legal obligatoriu între viitorii proprietari de conducte, viitorul operator și serviciile de apă care furnizează servicii de apă către Strășeni și Călărași. </w:t>
      </w:r>
      <w:r w:rsidR="00625C46" w:rsidRPr="00626846">
        <w:rPr>
          <w:rFonts w:cs="Arial"/>
          <w:color w:val="FF0000"/>
          <w:szCs w:val="24"/>
          <w:lang w:val="ro-RO" w:eastAsia="de-DE"/>
        </w:rPr>
        <w:t xml:space="preserve">Acordurile respective stipulează că Apa Canal Chișinău (ACC) va furniza apă celor doi operatori pentru o perioadă de cel puțin 50 de ani. </w:t>
      </w:r>
      <w:r w:rsidR="00625C46" w:rsidRPr="00A9116C">
        <w:rPr>
          <w:rFonts w:cs="Arial"/>
          <w:szCs w:val="24"/>
          <w:lang w:val="ro-RO" w:eastAsia="de-DE"/>
        </w:rPr>
        <w:t xml:space="preserve">De îndată ce a fost introdus tariful în vrac, ACC va aplica </w:t>
      </w:r>
      <w:r w:rsidR="009F58FF" w:rsidRPr="00A9116C">
        <w:rPr>
          <w:rFonts w:cs="Arial"/>
          <w:szCs w:val="24"/>
          <w:lang w:val="ro-RO" w:eastAsia="de-DE"/>
        </w:rPr>
        <w:t>acest tarif</w:t>
      </w:r>
      <w:r w:rsidR="00625C46" w:rsidRPr="00A9116C">
        <w:rPr>
          <w:rFonts w:cs="Arial"/>
          <w:szCs w:val="24"/>
          <w:lang w:val="ro-RO" w:eastAsia="de-DE"/>
        </w:rPr>
        <w:t xml:space="preserve"> și va furniza apă celor doi operatori la cel mai mic preț posibil în vrac.</w:t>
      </w:r>
    </w:p>
    <w:p w:rsidR="00625C46" w:rsidRPr="00A9116C" w:rsidRDefault="005B31E9" w:rsidP="00625C46">
      <w:pPr>
        <w:pStyle w:val="aff5"/>
        <w:numPr>
          <w:ilvl w:val="0"/>
          <w:numId w:val="26"/>
        </w:numPr>
        <w:spacing w:before="0" w:after="120" w:line="276" w:lineRule="auto"/>
        <w:rPr>
          <w:rFonts w:cs="Arial"/>
          <w:szCs w:val="24"/>
          <w:lang w:val="ro-RO"/>
        </w:rPr>
      </w:pPr>
      <w:r w:rsidRPr="00A9116C">
        <w:rPr>
          <w:rFonts w:cs="Arial"/>
          <w:szCs w:val="24"/>
          <w:lang w:val="ro-RO"/>
        </w:rPr>
        <w:t xml:space="preserve">ADR </w:t>
      </w:r>
      <w:r w:rsidR="00625C46" w:rsidRPr="00A9116C">
        <w:rPr>
          <w:rFonts w:cs="Arial"/>
          <w:szCs w:val="24"/>
          <w:lang w:val="ro-RO"/>
        </w:rPr>
        <w:t xml:space="preserve">Centru </w:t>
      </w:r>
      <w:r w:rsidRPr="00A9116C">
        <w:rPr>
          <w:rFonts w:cs="Arial"/>
          <w:szCs w:val="24"/>
          <w:lang w:val="ro-RO"/>
        </w:rPr>
        <w:t>asigură</w:t>
      </w:r>
      <w:r w:rsidR="00625C46" w:rsidRPr="00A9116C">
        <w:rPr>
          <w:rFonts w:cs="Arial"/>
          <w:szCs w:val="24"/>
          <w:lang w:val="ro-RO"/>
        </w:rPr>
        <w:t xml:space="preserve"> că reparația drumurilor </w:t>
      </w:r>
      <w:r w:rsidRPr="00A9116C">
        <w:rPr>
          <w:rFonts w:cs="Arial"/>
          <w:szCs w:val="24"/>
          <w:lang w:val="ro-RO"/>
        </w:rPr>
        <w:t>în urma săpăturilor de</w:t>
      </w:r>
      <w:r w:rsidR="00625C46" w:rsidRPr="00A9116C">
        <w:rPr>
          <w:rFonts w:cs="Arial"/>
          <w:szCs w:val="24"/>
          <w:lang w:val="ro-RO"/>
        </w:rPr>
        <w:t xml:space="preserve"> șanț</w:t>
      </w:r>
      <w:r w:rsidRPr="00A9116C">
        <w:rPr>
          <w:rFonts w:cs="Arial"/>
          <w:szCs w:val="24"/>
          <w:lang w:val="ro-RO"/>
        </w:rPr>
        <w:t>uri</w:t>
      </w:r>
      <w:r w:rsidR="00507DCF" w:rsidRPr="00A9116C">
        <w:rPr>
          <w:rFonts w:cs="Arial"/>
          <w:szCs w:val="24"/>
          <w:lang w:val="ro-RO"/>
        </w:rPr>
        <w:t xml:space="preserve"> va fi acoperită din</w:t>
      </w:r>
      <w:r w:rsidR="00625C46" w:rsidRPr="00A9116C">
        <w:rPr>
          <w:rFonts w:cs="Arial"/>
          <w:szCs w:val="24"/>
          <w:lang w:val="ro-RO"/>
        </w:rPr>
        <w:t xml:space="preserve"> contribuția financiară numai la nivelul de calitate al suprafeței </w:t>
      </w:r>
      <w:r w:rsidR="001B4E41" w:rsidRPr="00A9116C">
        <w:rPr>
          <w:rFonts w:cs="Arial"/>
          <w:szCs w:val="24"/>
          <w:lang w:val="ro-RO"/>
        </w:rPr>
        <w:t>drumului existent</w:t>
      </w:r>
      <w:r w:rsidR="00625C46" w:rsidRPr="00A9116C">
        <w:rPr>
          <w:rFonts w:cs="Arial"/>
          <w:szCs w:val="24"/>
          <w:lang w:val="ro-RO"/>
        </w:rPr>
        <w:t xml:space="preserve"> înainte de </w:t>
      </w:r>
      <w:r w:rsidR="001B4E41" w:rsidRPr="00A9116C">
        <w:rPr>
          <w:rFonts w:cs="Arial"/>
          <w:szCs w:val="24"/>
          <w:lang w:val="ro-RO"/>
        </w:rPr>
        <w:t>săpături</w:t>
      </w:r>
      <w:r w:rsidR="00625C46" w:rsidRPr="00A9116C">
        <w:rPr>
          <w:rFonts w:cs="Arial"/>
          <w:szCs w:val="24"/>
          <w:lang w:val="ro-RO"/>
        </w:rPr>
        <w:t>.</w:t>
      </w:r>
    </w:p>
    <w:p w:rsidR="00625C46" w:rsidRPr="00A9116C" w:rsidRDefault="001B4E41" w:rsidP="00B63E55">
      <w:pPr>
        <w:pStyle w:val="aff5"/>
        <w:numPr>
          <w:ilvl w:val="0"/>
          <w:numId w:val="26"/>
        </w:numPr>
        <w:spacing w:before="0" w:after="120" w:line="276" w:lineRule="auto"/>
        <w:rPr>
          <w:rFonts w:cs="Arial"/>
          <w:szCs w:val="24"/>
          <w:lang w:val="ro-RO"/>
        </w:rPr>
      </w:pPr>
      <w:r w:rsidRPr="00626846">
        <w:rPr>
          <w:rFonts w:cs="Arial"/>
          <w:color w:val="FF0000"/>
          <w:szCs w:val="24"/>
          <w:lang w:val="ro-RO"/>
        </w:rPr>
        <w:t xml:space="preserve">ADR </w:t>
      </w:r>
      <w:r w:rsidR="00625C46" w:rsidRPr="00626846">
        <w:rPr>
          <w:rFonts w:cs="Arial"/>
          <w:color w:val="FF0000"/>
          <w:szCs w:val="24"/>
          <w:lang w:val="ro-RO"/>
        </w:rPr>
        <w:t xml:space="preserve">Centru furnizează KfW dovezi satisfăcătoare în formă și conținut, că </w:t>
      </w:r>
      <w:r w:rsidR="004E1656" w:rsidRPr="00626846">
        <w:rPr>
          <w:rFonts w:cs="Arial"/>
          <w:color w:val="FF0000"/>
          <w:szCs w:val="24"/>
          <w:lang w:val="ro-RO"/>
        </w:rPr>
        <w:t>serviciile</w:t>
      </w:r>
      <w:r w:rsidR="00625C46" w:rsidRPr="00626846">
        <w:rPr>
          <w:rFonts w:cs="Arial"/>
          <w:color w:val="FF0000"/>
          <w:szCs w:val="24"/>
          <w:lang w:val="ro-RO"/>
        </w:rPr>
        <w:t xml:space="preserve"> de apă din</w:t>
      </w:r>
      <w:r w:rsidR="004E1656" w:rsidRPr="00626846">
        <w:rPr>
          <w:rFonts w:cs="Arial"/>
          <w:color w:val="FF0000"/>
          <w:szCs w:val="24"/>
          <w:lang w:val="ro-RO"/>
        </w:rPr>
        <w:t xml:space="preserve"> Strășeni și Călărași vor solicita</w:t>
      </w:r>
      <w:r w:rsidR="00625C46" w:rsidRPr="00626846">
        <w:rPr>
          <w:rFonts w:cs="Arial"/>
          <w:color w:val="FF0000"/>
          <w:szCs w:val="24"/>
          <w:lang w:val="ro-RO"/>
        </w:rPr>
        <w:t xml:space="preserve"> ANRE tarifele noi, </w:t>
      </w:r>
      <w:r w:rsidR="004E1656" w:rsidRPr="00626846">
        <w:rPr>
          <w:rFonts w:cs="Arial"/>
          <w:color w:val="FF0000"/>
          <w:szCs w:val="24"/>
          <w:lang w:val="ro-RO"/>
        </w:rPr>
        <w:t>în vederea</w:t>
      </w:r>
      <w:r w:rsidR="00625C46" w:rsidRPr="00626846">
        <w:rPr>
          <w:rFonts w:cs="Arial"/>
          <w:color w:val="FF0000"/>
          <w:szCs w:val="24"/>
          <w:lang w:val="ro-RO"/>
        </w:rPr>
        <w:t xml:space="preserve"> acoperi</w:t>
      </w:r>
      <w:r w:rsidR="004E1656" w:rsidRPr="00626846">
        <w:rPr>
          <w:rFonts w:cs="Arial"/>
          <w:color w:val="FF0000"/>
          <w:szCs w:val="24"/>
          <w:lang w:val="ro-RO"/>
        </w:rPr>
        <w:t>rii costurilor</w:t>
      </w:r>
      <w:r w:rsidR="00625C46" w:rsidRPr="00626846">
        <w:rPr>
          <w:rFonts w:cs="Arial"/>
          <w:color w:val="FF0000"/>
          <w:szCs w:val="24"/>
          <w:lang w:val="ro-RO"/>
        </w:rPr>
        <w:t xml:space="preserve"> operaționale și că municipalitățile din Strășeni și Călărași se vor angaja să acopere costurile</w:t>
      </w:r>
      <w:r w:rsidR="00B63E55" w:rsidRPr="00626846">
        <w:rPr>
          <w:rFonts w:cs="Arial"/>
          <w:color w:val="FF0000"/>
          <w:szCs w:val="24"/>
          <w:lang w:val="ro-RO"/>
        </w:rPr>
        <w:t xml:space="preserve"> operaționale</w:t>
      </w:r>
      <w:r w:rsidR="00625C46" w:rsidRPr="00626846">
        <w:rPr>
          <w:rFonts w:cs="Arial"/>
          <w:color w:val="FF0000"/>
          <w:szCs w:val="24"/>
          <w:lang w:val="ro-RO"/>
        </w:rPr>
        <w:t xml:space="preserve"> a</w:t>
      </w:r>
      <w:r w:rsidR="00C1560D" w:rsidRPr="00626846">
        <w:rPr>
          <w:rFonts w:cs="Arial"/>
          <w:color w:val="FF0000"/>
          <w:szCs w:val="24"/>
          <w:lang w:val="ro-RO"/>
        </w:rPr>
        <w:t xml:space="preserve">le prestatorilor de </w:t>
      </w:r>
      <w:r w:rsidR="00B63E55" w:rsidRPr="00626846">
        <w:rPr>
          <w:rFonts w:cs="Arial"/>
          <w:color w:val="FF0000"/>
          <w:szCs w:val="24"/>
          <w:lang w:val="ro-RO"/>
        </w:rPr>
        <w:t>servicii</w:t>
      </w:r>
      <w:r w:rsidR="00C1560D" w:rsidRPr="00626846">
        <w:rPr>
          <w:rFonts w:cs="Arial"/>
          <w:color w:val="FF0000"/>
          <w:szCs w:val="24"/>
          <w:lang w:val="ro-RO"/>
        </w:rPr>
        <w:t xml:space="preserve"> de alimentare cu</w:t>
      </w:r>
      <w:r w:rsidR="00625C46" w:rsidRPr="00626846">
        <w:rPr>
          <w:rFonts w:cs="Arial"/>
          <w:color w:val="FF0000"/>
          <w:szCs w:val="24"/>
          <w:lang w:val="ro-RO"/>
        </w:rPr>
        <w:t xml:space="preserve"> apă</w:t>
      </w:r>
      <w:r w:rsidR="00B63E55" w:rsidRPr="00626846">
        <w:rPr>
          <w:rFonts w:cs="Arial"/>
          <w:color w:val="FF0000"/>
          <w:szCs w:val="24"/>
          <w:lang w:val="ro-RO"/>
        </w:rPr>
        <w:t>,</w:t>
      </w:r>
      <w:r w:rsidR="00625C46" w:rsidRPr="00626846">
        <w:rPr>
          <w:rFonts w:cs="Arial"/>
          <w:color w:val="FF0000"/>
          <w:szCs w:val="24"/>
          <w:lang w:val="ro-RO"/>
        </w:rPr>
        <w:t xml:space="preserve"> </w:t>
      </w:r>
      <w:r w:rsidR="00B63E55" w:rsidRPr="00626846">
        <w:rPr>
          <w:rFonts w:cs="Arial"/>
          <w:color w:val="FF0000"/>
          <w:szCs w:val="24"/>
          <w:lang w:val="ro-RO"/>
        </w:rPr>
        <w:t>ne</w:t>
      </w:r>
      <w:r w:rsidR="00625C46" w:rsidRPr="00626846">
        <w:rPr>
          <w:rFonts w:cs="Arial"/>
          <w:color w:val="FF0000"/>
          <w:szCs w:val="24"/>
          <w:lang w:val="ro-RO"/>
        </w:rPr>
        <w:t xml:space="preserve">acoperite de tarifele </w:t>
      </w:r>
      <w:r w:rsidR="00B63E55" w:rsidRPr="00626846">
        <w:rPr>
          <w:rFonts w:cs="Arial"/>
          <w:color w:val="FF0000"/>
          <w:szCs w:val="24"/>
          <w:lang w:val="ro-RO"/>
        </w:rPr>
        <w:t>actuale</w:t>
      </w:r>
      <w:r w:rsidR="00625C46" w:rsidRPr="00626846">
        <w:rPr>
          <w:rFonts w:cs="Arial"/>
          <w:color w:val="FF0000"/>
          <w:szCs w:val="24"/>
          <w:lang w:val="ro-RO"/>
        </w:rPr>
        <w:t>.</w:t>
      </w:r>
    </w:p>
    <w:p w:rsidR="00625C46" w:rsidRPr="00A9116C" w:rsidRDefault="0060497B" w:rsidP="00625C46">
      <w:pPr>
        <w:pStyle w:val="3"/>
        <w:numPr>
          <w:ilvl w:val="2"/>
          <w:numId w:val="6"/>
        </w:numPr>
        <w:spacing w:line="276" w:lineRule="auto"/>
        <w:rPr>
          <w:b/>
          <w:u w:val="single"/>
          <w:lang w:val="ro-RO"/>
        </w:rPr>
      </w:pPr>
      <w:r w:rsidRPr="00A9116C">
        <w:rPr>
          <w:b/>
          <w:u w:val="single"/>
          <w:lang w:val="ro-RO"/>
        </w:rPr>
        <w:t xml:space="preserve">Clauze privind </w:t>
      </w:r>
      <w:r w:rsidR="00F86151" w:rsidRPr="00A9116C">
        <w:rPr>
          <w:b/>
          <w:u w:val="single"/>
          <w:lang w:val="ro-RO"/>
        </w:rPr>
        <w:t>Funcționarea</w:t>
      </w:r>
      <w:r w:rsidRPr="00A9116C">
        <w:rPr>
          <w:b/>
          <w:u w:val="single"/>
          <w:lang w:val="ro-RO"/>
        </w:rPr>
        <w:t xml:space="preserve"> Corespunzătoare a Proiectului </w:t>
      </w:r>
    </w:p>
    <w:p w:rsidR="00625C46" w:rsidRPr="00A9116C" w:rsidRDefault="00625C46" w:rsidP="00625C46">
      <w:pPr>
        <w:rPr>
          <w:lang w:val="ro-RO"/>
        </w:rPr>
      </w:pPr>
      <w:r w:rsidRPr="00A9116C">
        <w:rPr>
          <w:szCs w:val="22"/>
          <w:lang w:val="ro-RO"/>
        </w:rPr>
        <w:t xml:space="preserve">Pentru a asigura </w:t>
      </w:r>
      <w:r w:rsidR="00ED1BDA" w:rsidRPr="00A9116C">
        <w:rPr>
          <w:szCs w:val="22"/>
          <w:lang w:val="ro-RO"/>
        </w:rPr>
        <w:t>funcționarea corespunzătoare a Proiectului, Agenția de Executare a P</w:t>
      </w:r>
      <w:r w:rsidR="005611D8" w:rsidRPr="00A9116C">
        <w:rPr>
          <w:szCs w:val="22"/>
          <w:lang w:val="ro-RO"/>
        </w:rPr>
        <w:t>roiectului prezintă un concept de funcționare</w:t>
      </w:r>
      <w:r w:rsidRPr="00A9116C">
        <w:rPr>
          <w:szCs w:val="22"/>
          <w:lang w:val="ro-RO"/>
        </w:rPr>
        <w:t xml:space="preserve"> și întreținere, inclusiv un plan operațional de gestionare a mediului și social</w:t>
      </w:r>
      <w:r w:rsidR="004F06E6" w:rsidRPr="00A9116C">
        <w:rPr>
          <w:szCs w:val="22"/>
          <w:lang w:val="ro-RO"/>
        </w:rPr>
        <w:t>ă</w:t>
      </w:r>
      <w:r w:rsidR="002A74E6" w:rsidRPr="00A9116C">
        <w:rPr>
          <w:szCs w:val="22"/>
          <w:lang w:val="ro-RO"/>
        </w:rPr>
        <w:t>, elaborat în colaborare cu Consultantul de I</w:t>
      </w:r>
      <w:r w:rsidRPr="00A9116C">
        <w:rPr>
          <w:szCs w:val="22"/>
          <w:lang w:val="ro-RO"/>
        </w:rPr>
        <w:t xml:space="preserve">mplementare înainte de semnarea primului contract de construcție. Planul operațional de </w:t>
      </w:r>
      <w:r w:rsidR="004F06E6" w:rsidRPr="00A9116C">
        <w:rPr>
          <w:szCs w:val="22"/>
          <w:lang w:val="ro-RO"/>
        </w:rPr>
        <w:t>gestionare a mediului și socială</w:t>
      </w:r>
      <w:r w:rsidRPr="00A9116C">
        <w:rPr>
          <w:szCs w:val="22"/>
          <w:lang w:val="ro-RO"/>
        </w:rPr>
        <w:t xml:space="preserve"> </w:t>
      </w:r>
      <w:r w:rsidR="00557B71" w:rsidRPr="00A9116C">
        <w:rPr>
          <w:szCs w:val="22"/>
          <w:lang w:val="ro-RO"/>
        </w:rPr>
        <w:t>cuprinde un plan de gestionare privind sănătatea și securitatea</w:t>
      </w:r>
      <w:r w:rsidRPr="00A9116C">
        <w:rPr>
          <w:szCs w:val="22"/>
          <w:lang w:val="ro-RO"/>
        </w:rPr>
        <w:t xml:space="preserve"> în muncă și a condițiilor de muncă.</w:t>
      </w:r>
    </w:p>
    <w:p w:rsidR="00625C46" w:rsidRPr="00A9116C" w:rsidRDefault="00557B71" w:rsidP="00625C46">
      <w:pPr>
        <w:pStyle w:val="4"/>
        <w:numPr>
          <w:ilvl w:val="0"/>
          <w:numId w:val="0"/>
        </w:numPr>
        <w:rPr>
          <w:lang w:val="ro-RO"/>
        </w:rPr>
      </w:pPr>
      <w:r w:rsidRPr="00A9116C">
        <w:rPr>
          <w:lang w:val="ro-RO"/>
        </w:rPr>
        <w:t>Concomitent</w:t>
      </w:r>
      <w:r w:rsidR="00625C46" w:rsidRPr="00A9116C">
        <w:rPr>
          <w:lang w:val="ro-RO"/>
        </w:rPr>
        <w:t xml:space="preserve">, Agenția de Executare a Proiectului </w:t>
      </w:r>
      <w:r w:rsidR="002A74E6" w:rsidRPr="00A9116C">
        <w:rPr>
          <w:lang w:val="ro-RO"/>
        </w:rPr>
        <w:t>transmite KfW o prognoză</w:t>
      </w:r>
      <w:r w:rsidR="00625C46" w:rsidRPr="00A9116C">
        <w:rPr>
          <w:lang w:val="ro-RO"/>
        </w:rPr>
        <w:t xml:space="preserve"> f</w:t>
      </w:r>
      <w:r w:rsidR="002A74E6" w:rsidRPr="00A9116C">
        <w:rPr>
          <w:lang w:val="ro-RO"/>
        </w:rPr>
        <w:t>inanciară întocmită în colaborare</w:t>
      </w:r>
      <w:r w:rsidR="00625C46" w:rsidRPr="00A9116C">
        <w:rPr>
          <w:lang w:val="ro-RO"/>
        </w:rPr>
        <w:t xml:space="preserve"> cu Consultantul de Implementare, pentru zona </w:t>
      </w:r>
      <w:r w:rsidR="00815BC4" w:rsidRPr="00A9116C">
        <w:rPr>
          <w:lang w:val="ro-RO"/>
        </w:rPr>
        <w:t xml:space="preserve">operațională de amplasare a </w:t>
      </w:r>
      <w:r w:rsidR="00625C46" w:rsidRPr="00A9116C">
        <w:rPr>
          <w:lang w:val="ro-RO"/>
        </w:rPr>
        <w:t>Programul</w:t>
      </w:r>
      <w:r w:rsidR="00815BC4" w:rsidRPr="00A9116C">
        <w:rPr>
          <w:lang w:val="ro-RO"/>
        </w:rPr>
        <w:t>ui</w:t>
      </w:r>
      <w:r w:rsidR="00625C46" w:rsidRPr="00A9116C">
        <w:rPr>
          <w:lang w:val="ro-RO"/>
        </w:rPr>
        <w:t xml:space="preserve">. Această prognoză </w:t>
      </w:r>
      <w:r w:rsidR="00815BC4" w:rsidRPr="00A9116C">
        <w:rPr>
          <w:lang w:val="ro-RO"/>
        </w:rPr>
        <w:t>este destinată reflectării cheltuielilor generate de P</w:t>
      </w:r>
      <w:r w:rsidR="00EB47AF" w:rsidRPr="00A9116C">
        <w:rPr>
          <w:lang w:val="ro-RO"/>
        </w:rPr>
        <w:t>rogram și câștigurilor</w:t>
      </w:r>
      <w:r w:rsidR="00625C46" w:rsidRPr="00A9116C">
        <w:rPr>
          <w:lang w:val="ro-RO"/>
        </w:rPr>
        <w:t xml:space="preserve"> </w:t>
      </w:r>
      <w:r w:rsidR="00EB47AF" w:rsidRPr="00A9116C">
        <w:rPr>
          <w:lang w:val="ro-RO"/>
        </w:rPr>
        <w:t>estimate</w:t>
      </w:r>
      <w:r w:rsidR="00625C46" w:rsidRPr="00A9116C">
        <w:rPr>
          <w:lang w:val="ro-RO"/>
        </w:rPr>
        <w:t xml:space="preserve"> pentru </w:t>
      </w:r>
      <w:r w:rsidR="00EB47AF" w:rsidRPr="00A9116C">
        <w:rPr>
          <w:lang w:val="ro-RO"/>
        </w:rPr>
        <w:t xml:space="preserve">zona operațională dată, </w:t>
      </w:r>
      <w:r w:rsidR="00625C46" w:rsidRPr="00A9116C">
        <w:rPr>
          <w:lang w:val="ro-RO"/>
        </w:rPr>
        <w:t xml:space="preserve">la momentul apariției lor. Agenția de </w:t>
      </w:r>
      <w:r w:rsidR="00EB47AF" w:rsidRPr="00A9116C">
        <w:rPr>
          <w:lang w:val="ro-RO"/>
        </w:rPr>
        <w:t>Executare a P</w:t>
      </w:r>
      <w:r w:rsidR="00625C46" w:rsidRPr="00A9116C">
        <w:rPr>
          <w:lang w:val="ro-RO"/>
        </w:rPr>
        <w:t xml:space="preserve">roiectului actualizează </w:t>
      </w:r>
      <w:r w:rsidR="00691995" w:rsidRPr="00A9116C">
        <w:rPr>
          <w:lang w:val="ro-RO"/>
        </w:rPr>
        <w:t xml:space="preserve">periodic această prognoză și </w:t>
      </w:r>
      <w:r w:rsidR="00625C46" w:rsidRPr="00A9116C">
        <w:rPr>
          <w:lang w:val="ro-RO"/>
        </w:rPr>
        <w:t xml:space="preserve">asigură </w:t>
      </w:r>
      <w:r w:rsidR="00691995" w:rsidRPr="00A9116C">
        <w:rPr>
          <w:lang w:val="ro-RO"/>
        </w:rPr>
        <w:t>acoperirea la timp a deficitelor</w:t>
      </w:r>
      <w:r w:rsidR="00625C46" w:rsidRPr="00A9116C">
        <w:rPr>
          <w:lang w:val="ro-RO"/>
        </w:rPr>
        <w:t xml:space="preserve"> de finanțare. Agenția de </w:t>
      </w:r>
      <w:r w:rsidR="002676DA" w:rsidRPr="00A9116C">
        <w:rPr>
          <w:lang w:val="ro-RO"/>
        </w:rPr>
        <w:t>Executare a Proiectului transmite prognoza financiară</w:t>
      </w:r>
      <w:r w:rsidR="00625C46" w:rsidRPr="00A9116C">
        <w:rPr>
          <w:lang w:val="ro-RO"/>
        </w:rPr>
        <w:t xml:space="preserve"> și versiunile revizuite</w:t>
      </w:r>
      <w:r w:rsidR="002676DA" w:rsidRPr="00A9116C">
        <w:rPr>
          <w:lang w:val="ro-RO"/>
        </w:rPr>
        <w:t xml:space="preserve"> ale acesteia</w:t>
      </w:r>
      <w:r w:rsidR="00625C46" w:rsidRPr="00A9116C">
        <w:rPr>
          <w:lang w:val="ro-RO"/>
        </w:rPr>
        <w:t xml:space="preserve"> către KfW fără întârziere.</w:t>
      </w:r>
    </w:p>
    <w:p w:rsidR="00625C46" w:rsidRPr="00A9116C" w:rsidRDefault="005F2488" w:rsidP="00625C46">
      <w:pPr>
        <w:spacing w:after="120"/>
        <w:rPr>
          <w:rFonts w:cs="Arial"/>
          <w:szCs w:val="24"/>
          <w:lang w:val="ro-RO"/>
        </w:rPr>
      </w:pPr>
      <w:r w:rsidRPr="00A9116C">
        <w:rPr>
          <w:rFonts w:cs="Arial"/>
          <w:szCs w:val="24"/>
          <w:lang w:val="ro-RO"/>
        </w:rPr>
        <w:t xml:space="preserve">În vederea prestării serviciilor </w:t>
      </w:r>
      <w:r w:rsidR="00625C46" w:rsidRPr="00A9116C">
        <w:rPr>
          <w:rFonts w:cs="Arial"/>
          <w:szCs w:val="24"/>
          <w:lang w:val="ro-RO"/>
        </w:rPr>
        <w:t>îmbunătățite populație</w:t>
      </w:r>
      <w:r w:rsidRPr="00A9116C">
        <w:rPr>
          <w:rFonts w:cs="Arial"/>
          <w:szCs w:val="24"/>
          <w:lang w:val="ro-RO"/>
        </w:rPr>
        <w:t>i</w:t>
      </w:r>
      <w:r w:rsidR="00625C46" w:rsidRPr="00A9116C">
        <w:rPr>
          <w:rFonts w:cs="Arial"/>
          <w:szCs w:val="24"/>
          <w:lang w:val="ro-RO"/>
        </w:rPr>
        <w:t xml:space="preserve">, </w:t>
      </w:r>
      <w:r w:rsidRPr="00A9116C">
        <w:rPr>
          <w:rFonts w:cs="Arial"/>
          <w:szCs w:val="24"/>
          <w:lang w:val="ro-RO"/>
        </w:rPr>
        <w:t>ADR Centru</w:t>
      </w:r>
      <w:r w:rsidR="00625C46" w:rsidRPr="00A9116C">
        <w:rPr>
          <w:rFonts w:cs="Arial"/>
          <w:szCs w:val="24"/>
          <w:lang w:val="ro-RO"/>
        </w:rPr>
        <w:t xml:space="preserve"> împreună cu ACC și municipalitățile Strășeni și Călărași trebuie </w:t>
      </w:r>
      <w:r w:rsidR="00050F31" w:rsidRPr="00A9116C">
        <w:rPr>
          <w:rFonts w:cs="Arial"/>
          <w:szCs w:val="24"/>
          <w:lang w:val="ro-RO"/>
        </w:rPr>
        <w:t>să valorifice integral</w:t>
      </w:r>
      <w:r w:rsidR="00625C46" w:rsidRPr="00A9116C">
        <w:rPr>
          <w:rFonts w:cs="Arial"/>
          <w:szCs w:val="24"/>
          <w:lang w:val="ro-RO"/>
        </w:rPr>
        <w:t xml:space="preserve"> </w:t>
      </w:r>
      <w:r w:rsidR="00050F31" w:rsidRPr="00A9116C">
        <w:rPr>
          <w:rFonts w:cs="Arial"/>
          <w:szCs w:val="24"/>
          <w:lang w:val="ro-RO"/>
        </w:rPr>
        <w:t>posibilitățile</w:t>
      </w:r>
      <w:r w:rsidR="00C30BCA" w:rsidRPr="00A9116C">
        <w:rPr>
          <w:rFonts w:cs="Arial"/>
          <w:szCs w:val="24"/>
          <w:lang w:val="ro-RO"/>
        </w:rPr>
        <w:t xml:space="preserve"> de reducere a costurilor. Ace</w:t>
      </w:r>
      <w:r w:rsidR="00625C46" w:rsidRPr="00A9116C">
        <w:rPr>
          <w:rFonts w:cs="Arial"/>
          <w:szCs w:val="24"/>
          <w:lang w:val="ro-RO"/>
        </w:rPr>
        <w:t>st</w:t>
      </w:r>
      <w:r w:rsidR="00C30BCA" w:rsidRPr="00A9116C">
        <w:rPr>
          <w:rFonts w:cs="Arial"/>
          <w:szCs w:val="24"/>
          <w:lang w:val="ro-RO"/>
        </w:rPr>
        <w:t>e</w:t>
      </w:r>
      <w:r w:rsidR="006E595A" w:rsidRPr="00A9116C">
        <w:rPr>
          <w:rFonts w:cs="Arial"/>
          <w:szCs w:val="24"/>
          <w:lang w:val="ro-RO"/>
        </w:rPr>
        <w:t>a implică de ex. scoaterea din funcțiune</w:t>
      </w:r>
      <w:r w:rsidR="00625C46" w:rsidRPr="00A9116C">
        <w:rPr>
          <w:rFonts w:cs="Arial"/>
          <w:szCs w:val="24"/>
          <w:lang w:val="ro-RO"/>
        </w:rPr>
        <w:t xml:space="preserve"> </w:t>
      </w:r>
      <w:r w:rsidR="006E595A" w:rsidRPr="00A9116C">
        <w:rPr>
          <w:rFonts w:cs="Arial"/>
          <w:szCs w:val="24"/>
          <w:lang w:val="ro-RO"/>
        </w:rPr>
        <w:t xml:space="preserve">a </w:t>
      </w:r>
      <w:r w:rsidR="0015439C" w:rsidRPr="00A9116C">
        <w:rPr>
          <w:rFonts w:cs="Arial"/>
          <w:szCs w:val="24"/>
          <w:lang w:val="ro-RO"/>
        </w:rPr>
        <w:t xml:space="preserve">conductei de apă de la </w:t>
      </w:r>
      <w:r w:rsidR="00A9116C" w:rsidRPr="00A9116C">
        <w:rPr>
          <w:rFonts w:cs="Arial"/>
          <w:szCs w:val="24"/>
          <w:lang w:val="ro-RO"/>
        </w:rPr>
        <w:t>fântâna</w:t>
      </w:r>
      <w:r w:rsidR="00625C46" w:rsidRPr="00A9116C">
        <w:rPr>
          <w:rFonts w:cs="Arial"/>
          <w:szCs w:val="24"/>
          <w:lang w:val="ro-RO"/>
        </w:rPr>
        <w:t xml:space="preserve"> de la </w:t>
      </w:r>
      <w:r w:rsidR="00AE64FA" w:rsidRPr="00A9116C">
        <w:rPr>
          <w:rFonts w:cs="Arial"/>
          <w:szCs w:val="24"/>
          <w:lang w:val="ro-RO"/>
        </w:rPr>
        <w:t>Micăuți</w:t>
      </w:r>
      <w:r w:rsidR="00625C46" w:rsidRPr="00A9116C">
        <w:rPr>
          <w:rFonts w:cs="Arial"/>
          <w:szCs w:val="24"/>
          <w:lang w:val="ro-RO"/>
        </w:rPr>
        <w:t xml:space="preserve"> la </w:t>
      </w:r>
      <w:r w:rsidR="00AE64FA" w:rsidRPr="00A9116C">
        <w:rPr>
          <w:rFonts w:cs="Arial"/>
          <w:szCs w:val="24"/>
          <w:lang w:val="ro-RO"/>
        </w:rPr>
        <w:t>Strășeni</w:t>
      </w:r>
      <w:r w:rsidR="00A632CC" w:rsidRPr="00A9116C">
        <w:rPr>
          <w:rFonts w:cs="Arial"/>
          <w:szCs w:val="24"/>
          <w:lang w:val="ro-RO"/>
        </w:rPr>
        <w:t xml:space="preserve"> care se află într-o stare de deteriorare avansată</w:t>
      </w:r>
      <w:r w:rsidR="00625C46" w:rsidRPr="00A9116C">
        <w:rPr>
          <w:rFonts w:cs="Arial"/>
          <w:szCs w:val="24"/>
          <w:lang w:val="ro-RO"/>
        </w:rPr>
        <w:t xml:space="preserve"> și redu</w:t>
      </w:r>
      <w:r w:rsidR="003B3462" w:rsidRPr="00A9116C">
        <w:rPr>
          <w:rFonts w:cs="Arial"/>
          <w:szCs w:val="24"/>
          <w:lang w:val="ro-RO"/>
        </w:rPr>
        <w:t xml:space="preserve">cerea apei tehnice </w:t>
      </w:r>
      <w:r w:rsidR="00703F75" w:rsidRPr="00A9116C">
        <w:rPr>
          <w:rFonts w:cs="Arial"/>
          <w:szCs w:val="24"/>
          <w:lang w:val="ro-RO"/>
        </w:rPr>
        <w:t>nefacturate</w:t>
      </w:r>
      <w:r w:rsidR="00625C46" w:rsidRPr="00A9116C">
        <w:rPr>
          <w:rFonts w:cs="Arial"/>
          <w:szCs w:val="24"/>
          <w:lang w:val="ro-RO"/>
        </w:rPr>
        <w:t>.</w:t>
      </w:r>
    </w:p>
    <w:p w:rsidR="00625C46" w:rsidRPr="00A9116C" w:rsidRDefault="003B3462" w:rsidP="00625C46">
      <w:pPr>
        <w:spacing w:after="120"/>
        <w:rPr>
          <w:rFonts w:cs="Arial"/>
          <w:szCs w:val="24"/>
          <w:lang w:val="ro-RO"/>
        </w:rPr>
      </w:pPr>
      <w:r w:rsidRPr="00A9116C">
        <w:rPr>
          <w:rFonts w:cs="Arial"/>
          <w:szCs w:val="24"/>
          <w:lang w:val="ro-RO"/>
        </w:rPr>
        <w:lastRenderedPageBreak/>
        <w:t>Trecerea de la etapa</w:t>
      </w:r>
      <w:r w:rsidR="00625C46" w:rsidRPr="00A9116C">
        <w:rPr>
          <w:rFonts w:cs="Arial"/>
          <w:szCs w:val="24"/>
          <w:lang w:val="ro-RO"/>
        </w:rPr>
        <w:t xml:space="preserve"> de construcție la </w:t>
      </w:r>
      <w:r w:rsidRPr="00A9116C">
        <w:rPr>
          <w:rFonts w:cs="Arial"/>
          <w:szCs w:val="24"/>
          <w:lang w:val="ro-RO"/>
        </w:rPr>
        <w:t>etapa</w:t>
      </w:r>
      <w:r w:rsidR="00625C46" w:rsidRPr="00A9116C">
        <w:rPr>
          <w:rFonts w:cs="Arial"/>
          <w:szCs w:val="24"/>
          <w:lang w:val="ro-RO"/>
        </w:rPr>
        <w:t xml:space="preserve"> de operare trebuie să fie bine organizată de </w:t>
      </w:r>
      <w:r w:rsidR="002E79F6" w:rsidRPr="00A9116C">
        <w:rPr>
          <w:rFonts w:cs="Arial"/>
          <w:szCs w:val="24"/>
          <w:lang w:val="ro-RO"/>
        </w:rPr>
        <w:t>ADR Centru</w:t>
      </w:r>
      <w:r w:rsidR="00625C46" w:rsidRPr="00A9116C">
        <w:rPr>
          <w:rFonts w:cs="Arial"/>
          <w:szCs w:val="24"/>
          <w:lang w:val="ro-RO"/>
        </w:rPr>
        <w:t xml:space="preserve">. </w:t>
      </w:r>
      <w:r w:rsidR="002E79F6" w:rsidRPr="00A9116C">
        <w:rPr>
          <w:rFonts w:cs="Arial"/>
          <w:szCs w:val="24"/>
          <w:lang w:val="ro-RO"/>
        </w:rPr>
        <w:t>ADR Centru</w:t>
      </w:r>
      <w:r w:rsidR="00625C46" w:rsidRPr="00A9116C">
        <w:rPr>
          <w:rFonts w:cs="Arial"/>
          <w:szCs w:val="24"/>
          <w:lang w:val="ro-RO"/>
        </w:rPr>
        <w:t xml:space="preserve"> predă infrastructura proprietarului și</w:t>
      </w:r>
      <w:r w:rsidR="00E952C9" w:rsidRPr="00A9116C">
        <w:rPr>
          <w:rFonts w:cs="Arial"/>
          <w:szCs w:val="24"/>
          <w:lang w:val="ro-RO"/>
        </w:rPr>
        <w:t xml:space="preserve"> operatorului final al activului</w:t>
      </w:r>
      <w:r w:rsidR="00625C46" w:rsidRPr="00A9116C">
        <w:rPr>
          <w:rFonts w:cs="Arial"/>
          <w:szCs w:val="24"/>
          <w:lang w:val="ro-RO"/>
        </w:rPr>
        <w:t xml:space="preserve">. </w:t>
      </w:r>
      <w:r w:rsidR="002E79F6" w:rsidRPr="00A9116C">
        <w:rPr>
          <w:rFonts w:cs="Arial"/>
          <w:szCs w:val="24"/>
          <w:lang w:val="ro-RO"/>
        </w:rPr>
        <w:t xml:space="preserve">Tabelul de mai jos </w:t>
      </w:r>
      <w:r w:rsidR="00625C46" w:rsidRPr="00A9116C">
        <w:rPr>
          <w:rFonts w:cs="Arial"/>
          <w:szCs w:val="24"/>
          <w:lang w:val="ro-RO"/>
        </w:rPr>
        <w:t>oferă o imagine de ansamblu asupra proprietății activului și funcționa</w:t>
      </w:r>
      <w:r w:rsidR="00E952C9" w:rsidRPr="00A9116C">
        <w:rPr>
          <w:rFonts w:cs="Arial"/>
          <w:szCs w:val="24"/>
          <w:lang w:val="ro-RO"/>
        </w:rPr>
        <w:t>rea diferitelor componente ale P</w:t>
      </w:r>
      <w:r w:rsidR="00625C46" w:rsidRPr="00A9116C">
        <w:rPr>
          <w:rFonts w:cs="Arial"/>
          <w:szCs w:val="24"/>
          <w:lang w:val="ro-RO"/>
        </w:rPr>
        <w:t>rogramului:</w:t>
      </w:r>
    </w:p>
    <w:tbl>
      <w:tblPr>
        <w:tblStyle w:val="Tabellenraster2"/>
        <w:tblW w:w="9322" w:type="dxa"/>
        <w:tblLook w:val="04A0" w:firstRow="1" w:lastRow="0" w:firstColumn="1" w:lastColumn="0" w:noHBand="0" w:noVBand="1"/>
      </w:tblPr>
      <w:tblGrid>
        <w:gridCol w:w="3898"/>
        <w:gridCol w:w="5424"/>
      </w:tblGrid>
      <w:tr w:rsidR="00625C46" w:rsidRPr="00A9116C" w:rsidTr="00912EE4">
        <w:tc>
          <w:tcPr>
            <w:tcW w:w="3898" w:type="dxa"/>
          </w:tcPr>
          <w:p w:rsidR="00625C46" w:rsidRPr="00A9116C" w:rsidRDefault="00E952C9" w:rsidP="00912EE4">
            <w:pPr>
              <w:spacing w:line="240" w:lineRule="auto"/>
              <w:rPr>
                <w:rFonts w:cs="Arial"/>
                <w:b/>
                <w:szCs w:val="24"/>
                <w:lang w:val="ro-RO"/>
              </w:rPr>
            </w:pPr>
            <w:r w:rsidRPr="00A9116C">
              <w:rPr>
                <w:rFonts w:cs="Arial"/>
                <w:b/>
                <w:szCs w:val="24"/>
                <w:lang w:val="ro-RO"/>
              </w:rPr>
              <w:t>Componenta Programului</w:t>
            </w:r>
          </w:p>
        </w:tc>
        <w:tc>
          <w:tcPr>
            <w:tcW w:w="5424" w:type="dxa"/>
          </w:tcPr>
          <w:p w:rsidR="00625C46" w:rsidRPr="00A9116C" w:rsidRDefault="00E952C9" w:rsidP="00912EE4">
            <w:pPr>
              <w:spacing w:line="240" w:lineRule="auto"/>
              <w:rPr>
                <w:rFonts w:cs="Arial"/>
                <w:b/>
                <w:szCs w:val="24"/>
                <w:lang w:val="ro-RO"/>
              </w:rPr>
            </w:pPr>
            <w:r w:rsidRPr="00A9116C">
              <w:rPr>
                <w:rFonts w:cs="Arial"/>
                <w:b/>
                <w:szCs w:val="24"/>
                <w:lang w:val="ro-RO"/>
              </w:rPr>
              <w:t xml:space="preserve">Proprietatea finală și funcționarea activului </w:t>
            </w:r>
          </w:p>
        </w:tc>
      </w:tr>
      <w:tr w:rsidR="00625C46" w:rsidRPr="00A9116C" w:rsidTr="00912EE4">
        <w:tc>
          <w:tcPr>
            <w:tcW w:w="3898" w:type="dxa"/>
          </w:tcPr>
          <w:p w:rsidR="00625C46" w:rsidRPr="00A9116C" w:rsidRDefault="000F2104" w:rsidP="000F2104">
            <w:pPr>
              <w:spacing w:line="240" w:lineRule="auto"/>
              <w:rPr>
                <w:rFonts w:cs="Arial"/>
                <w:sz w:val="20"/>
                <w:lang w:val="ro-RO"/>
              </w:rPr>
            </w:pPr>
            <w:r w:rsidRPr="00A9116C">
              <w:rPr>
                <w:rFonts w:cs="Arial"/>
                <w:sz w:val="20"/>
                <w:lang w:val="ro-RO"/>
              </w:rPr>
              <w:t>Conducta principală Chișinău-Strășeni-Călăraș</w:t>
            </w:r>
            <w:r w:rsidR="00625C46" w:rsidRPr="00A9116C">
              <w:rPr>
                <w:rFonts w:cs="Arial"/>
                <w:sz w:val="20"/>
                <w:lang w:val="ro-RO"/>
              </w:rPr>
              <w:t>i</w:t>
            </w:r>
            <w:r w:rsidRPr="00A9116C">
              <w:rPr>
                <w:rFonts w:cs="Arial"/>
                <w:sz w:val="20"/>
                <w:lang w:val="ro-RO"/>
              </w:rPr>
              <w:t xml:space="preserve"> </w:t>
            </w:r>
          </w:p>
        </w:tc>
        <w:tc>
          <w:tcPr>
            <w:tcW w:w="5424" w:type="dxa"/>
          </w:tcPr>
          <w:p w:rsidR="00625C46" w:rsidRPr="00A9116C" w:rsidRDefault="007D5DF9" w:rsidP="00912EE4">
            <w:pPr>
              <w:spacing w:line="240" w:lineRule="auto"/>
              <w:rPr>
                <w:rFonts w:cs="Arial"/>
                <w:sz w:val="20"/>
                <w:lang w:val="ro-RO"/>
              </w:rPr>
            </w:pPr>
            <w:r w:rsidRPr="00A9116C">
              <w:rPr>
                <w:rFonts w:cs="Arial"/>
                <w:sz w:val="20"/>
                <w:lang w:val="ro-RO"/>
              </w:rPr>
              <w:t>P</w:t>
            </w:r>
            <w:r w:rsidR="00F5519D" w:rsidRPr="00A9116C">
              <w:rPr>
                <w:rFonts w:cs="Arial"/>
                <w:sz w:val="20"/>
                <w:lang w:val="ro-RO"/>
              </w:rPr>
              <w:t>roprietar</w:t>
            </w:r>
            <w:r w:rsidRPr="00A9116C">
              <w:rPr>
                <w:rFonts w:cs="Arial"/>
                <w:sz w:val="20"/>
                <w:lang w:val="ro-RO"/>
              </w:rPr>
              <w:t xml:space="preserve"> </w:t>
            </w:r>
            <w:r w:rsidR="00F5519D" w:rsidRPr="00A9116C">
              <w:rPr>
                <w:rFonts w:cs="Arial"/>
                <w:sz w:val="20"/>
                <w:lang w:val="ro-RO"/>
              </w:rPr>
              <w:t>oficial</w:t>
            </w:r>
            <w:r w:rsidRPr="00A9116C">
              <w:rPr>
                <w:rFonts w:cs="Arial"/>
                <w:sz w:val="20"/>
                <w:lang w:val="ro-RO"/>
              </w:rPr>
              <w:t>:</w:t>
            </w:r>
          </w:p>
          <w:p w:rsidR="00625C46" w:rsidRPr="00A9116C" w:rsidRDefault="000E45DF" w:rsidP="00912EE4">
            <w:pPr>
              <w:spacing w:line="240" w:lineRule="auto"/>
              <w:rPr>
                <w:rFonts w:cs="Arial"/>
                <w:sz w:val="20"/>
                <w:lang w:val="ro-RO"/>
              </w:rPr>
            </w:pPr>
            <w:r w:rsidRPr="00A9116C">
              <w:rPr>
                <w:rFonts w:cs="Arial"/>
                <w:sz w:val="20"/>
                <w:lang w:val="ro-RO"/>
              </w:rPr>
              <w:t xml:space="preserve">Guvernul Republicii Moldova, actualmente </w:t>
            </w:r>
            <w:r w:rsidR="00383CE3" w:rsidRPr="00A9116C">
              <w:rPr>
                <w:rFonts w:cs="Arial"/>
                <w:sz w:val="20"/>
                <w:lang w:val="ro-RO"/>
              </w:rPr>
              <w:t xml:space="preserve">prin intermediul MADRM și subdiviziunea acestuia </w:t>
            </w:r>
            <w:r w:rsidR="00153CA9" w:rsidRPr="00A9116C">
              <w:rPr>
                <w:rFonts w:cs="Arial"/>
                <w:sz w:val="20"/>
                <w:lang w:val="ro-RO"/>
              </w:rPr>
              <w:t xml:space="preserve">Agenția </w:t>
            </w:r>
            <w:r w:rsidR="009053CA" w:rsidRPr="00A9116C">
              <w:rPr>
                <w:rFonts w:cs="Arial"/>
                <w:sz w:val="20"/>
                <w:lang w:val="ro-RO"/>
              </w:rPr>
              <w:t>”</w:t>
            </w:r>
            <w:r w:rsidR="00153CA9" w:rsidRPr="00A9116C">
              <w:rPr>
                <w:rFonts w:cs="Arial"/>
                <w:sz w:val="20"/>
                <w:lang w:val="ro-RO"/>
              </w:rPr>
              <w:t>Apele Moldovei</w:t>
            </w:r>
            <w:r w:rsidR="009053CA" w:rsidRPr="00A9116C">
              <w:rPr>
                <w:rFonts w:cs="Arial"/>
                <w:sz w:val="20"/>
                <w:lang w:val="ro-RO"/>
              </w:rPr>
              <w:t>”</w:t>
            </w:r>
            <w:r w:rsidR="00153CA9" w:rsidRPr="00A9116C">
              <w:rPr>
                <w:rFonts w:cs="Arial"/>
                <w:sz w:val="20"/>
                <w:lang w:val="ro-RO"/>
              </w:rPr>
              <w:t xml:space="preserve">. </w:t>
            </w:r>
          </w:p>
          <w:p w:rsidR="00625C46" w:rsidRPr="00A9116C" w:rsidRDefault="00F5519D" w:rsidP="00912EE4">
            <w:pPr>
              <w:spacing w:line="240" w:lineRule="auto"/>
              <w:rPr>
                <w:rFonts w:cs="Arial"/>
                <w:sz w:val="20"/>
                <w:lang w:val="ro-RO"/>
              </w:rPr>
            </w:pPr>
            <w:r w:rsidRPr="00A9116C">
              <w:rPr>
                <w:rFonts w:cs="Arial"/>
                <w:sz w:val="20"/>
                <w:lang w:val="ro-RO"/>
              </w:rPr>
              <w:t>Operator al conductei principale: Apă Canal Chișină</w:t>
            </w:r>
            <w:r w:rsidR="00625C46" w:rsidRPr="00A9116C">
              <w:rPr>
                <w:rFonts w:cs="Arial"/>
                <w:sz w:val="20"/>
                <w:lang w:val="ro-RO"/>
              </w:rPr>
              <w:t>u</w:t>
            </w:r>
          </w:p>
        </w:tc>
      </w:tr>
      <w:tr w:rsidR="00625C46" w:rsidRPr="00A9116C" w:rsidTr="00912EE4">
        <w:tc>
          <w:tcPr>
            <w:tcW w:w="3898" w:type="dxa"/>
          </w:tcPr>
          <w:p w:rsidR="00625C46" w:rsidRPr="00A9116C" w:rsidRDefault="000F2104" w:rsidP="00912EE4">
            <w:pPr>
              <w:spacing w:line="240" w:lineRule="auto"/>
              <w:rPr>
                <w:rFonts w:cs="Arial"/>
                <w:sz w:val="20"/>
                <w:lang w:val="ro-RO"/>
              </w:rPr>
            </w:pPr>
            <w:r w:rsidRPr="00A9116C">
              <w:rPr>
                <w:rFonts w:cs="Arial"/>
                <w:sz w:val="20"/>
                <w:lang w:val="ro-RO"/>
              </w:rPr>
              <w:t xml:space="preserve">Liniile secundare de transmisie în raionul Strășeni </w:t>
            </w:r>
          </w:p>
        </w:tc>
        <w:tc>
          <w:tcPr>
            <w:tcW w:w="5424" w:type="dxa"/>
          </w:tcPr>
          <w:p w:rsidR="00625C46" w:rsidRPr="00A9116C" w:rsidRDefault="00F5519D" w:rsidP="00912EE4">
            <w:pPr>
              <w:spacing w:line="240" w:lineRule="auto"/>
              <w:rPr>
                <w:rFonts w:cs="Arial"/>
                <w:sz w:val="20"/>
                <w:lang w:val="ro-RO"/>
              </w:rPr>
            </w:pPr>
            <w:r w:rsidRPr="00A9116C">
              <w:rPr>
                <w:rFonts w:cs="Arial"/>
                <w:sz w:val="20"/>
                <w:lang w:val="ro-RO"/>
              </w:rPr>
              <w:t>Proprietar oficial:</w:t>
            </w:r>
            <w:r w:rsidR="00952F47" w:rsidRPr="00A9116C">
              <w:rPr>
                <w:rFonts w:cs="Arial"/>
                <w:sz w:val="20"/>
                <w:lang w:val="ro-RO"/>
              </w:rPr>
              <w:t xml:space="preserve"> Raionul Strășeni </w:t>
            </w:r>
          </w:p>
          <w:p w:rsidR="00625C46" w:rsidRPr="00A9116C" w:rsidRDefault="00952F47" w:rsidP="00912EE4">
            <w:pPr>
              <w:spacing w:line="240" w:lineRule="auto"/>
              <w:rPr>
                <w:rFonts w:cs="Arial"/>
                <w:sz w:val="20"/>
                <w:lang w:val="ro-RO"/>
              </w:rPr>
            </w:pPr>
            <w:r w:rsidRPr="00A9116C">
              <w:rPr>
                <w:rFonts w:cs="Arial"/>
                <w:sz w:val="20"/>
                <w:lang w:val="ro-RO"/>
              </w:rPr>
              <w:t xml:space="preserve">Operator Regional / societate pe acțiuni Strășeni </w:t>
            </w:r>
            <w:r w:rsidR="00747E49" w:rsidRPr="00A9116C">
              <w:rPr>
                <w:rFonts w:cs="Arial"/>
                <w:sz w:val="20"/>
                <w:lang w:val="ro-RO"/>
              </w:rPr>
              <w:t>nou-</w:t>
            </w:r>
            <w:r w:rsidR="004D411C" w:rsidRPr="00A9116C">
              <w:rPr>
                <w:rFonts w:cs="Arial"/>
                <w:sz w:val="20"/>
                <w:lang w:val="ro-RO"/>
              </w:rPr>
              <w:t>înființată</w:t>
            </w:r>
          </w:p>
        </w:tc>
      </w:tr>
      <w:tr w:rsidR="00625C46" w:rsidRPr="00A9116C" w:rsidTr="00912EE4">
        <w:tc>
          <w:tcPr>
            <w:tcW w:w="3898" w:type="dxa"/>
          </w:tcPr>
          <w:p w:rsidR="00625C46" w:rsidRPr="00A9116C" w:rsidRDefault="004F34FD" w:rsidP="004F34FD">
            <w:pPr>
              <w:spacing w:line="240" w:lineRule="auto"/>
              <w:rPr>
                <w:rFonts w:cs="Arial"/>
                <w:sz w:val="20"/>
                <w:lang w:val="ro-RO"/>
              </w:rPr>
            </w:pPr>
            <w:r w:rsidRPr="00A9116C">
              <w:rPr>
                <w:rFonts w:cs="Arial"/>
                <w:sz w:val="20"/>
                <w:lang w:val="ro-RO"/>
              </w:rPr>
              <w:t>Liniile secundare de transmisie în raionul Călăraș</w:t>
            </w:r>
            <w:r w:rsidR="00625C46" w:rsidRPr="00A9116C">
              <w:rPr>
                <w:rFonts w:cs="Arial"/>
                <w:sz w:val="20"/>
                <w:lang w:val="ro-RO"/>
              </w:rPr>
              <w:t>i</w:t>
            </w:r>
          </w:p>
        </w:tc>
        <w:tc>
          <w:tcPr>
            <w:tcW w:w="5424" w:type="dxa"/>
          </w:tcPr>
          <w:p w:rsidR="00625C46" w:rsidRPr="00A9116C" w:rsidRDefault="006854BB" w:rsidP="00912EE4">
            <w:pPr>
              <w:spacing w:line="240" w:lineRule="auto"/>
              <w:rPr>
                <w:rFonts w:cs="Arial"/>
                <w:sz w:val="20"/>
                <w:lang w:val="ro-RO"/>
              </w:rPr>
            </w:pPr>
            <w:r w:rsidRPr="00A9116C">
              <w:rPr>
                <w:rFonts w:cs="Arial"/>
                <w:sz w:val="20"/>
                <w:lang w:val="ro-RO"/>
              </w:rPr>
              <w:t>Proprietar oficial: Raionul Călăraș</w:t>
            </w:r>
            <w:r w:rsidR="00625C46" w:rsidRPr="00A9116C">
              <w:rPr>
                <w:rFonts w:cs="Arial"/>
                <w:sz w:val="20"/>
                <w:lang w:val="ro-RO"/>
              </w:rPr>
              <w:t>i</w:t>
            </w:r>
          </w:p>
          <w:p w:rsidR="00625C46" w:rsidRPr="00A9116C" w:rsidRDefault="006854BB" w:rsidP="006854BB">
            <w:pPr>
              <w:spacing w:line="240" w:lineRule="auto"/>
              <w:rPr>
                <w:rFonts w:cs="Arial"/>
                <w:sz w:val="20"/>
                <w:lang w:val="ro-RO"/>
              </w:rPr>
            </w:pPr>
            <w:r w:rsidRPr="00A9116C">
              <w:rPr>
                <w:rFonts w:cs="Arial"/>
                <w:sz w:val="20"/>
                <w:lang w:val="ro-RO"/>
              </w:rPr>
              <w:t>Operator Regional / societate pe acțiuni Călăraș</w:t>
            </w:r>
            <w:r w:rsidR="00625C46" w:rsidRPr="00A9116C">
              <w:rPr>
                <w:rFonts w:cs="Arial"/>
                <w:sz w:val="20"/>
                <w:lang w:val="ro-RO"/>
              </w:rPr>
              <w:t>i</w:t>
            </w:r>
            <w:r w:rsidR="00747E49" w:rsidRPr="00A9116C">
              <w:rPr>
                <w:rFonts w:cs="Arial"/>
                <w:sz w:val="20"/>
                <w:lang w:val="ro-RO"/>
              </w:rPr>
              <w:t xml:space="preserve"> nou-</w:t>
            </w:r>
            <w:r w:rsidR="004D411C" w:rsidRPr="00A9116C">
              <w:rPr>
                <w:rFonts w:cs="Arial"/>
                <w:sz w:val="20"/>
                <w:lang w:val="ro-RO"/>
              </w:rPr>
              <w:t>înființată</w:t>
            </w:r>
          </w:p>
        </w:tc>
      </w:tr>
      <w:tr w:rsidR="00625C46" w:rsidRPr="00A9116C" w:rsidTr="00912EE4">
        <w:tc>
          <w:tcPr>
            <w:tcW w:w="3898" w:type="dxa"/>
          </w:tcPr>
          <w:p w:rsidR="00625C46" w:rsidRPr="00A9116C" w:rsidRDefault="004F34FD" w:rsidP="00912EE4">
            <w:pPr>
              <w:spacing w:line="240" w:lineRule="auto"/>
              <w:rPr>
                <w:rFonts w:cs="Arial"/>
                <w:sz w:val="20"/>
                <w:lang w:val="ro-RO"/>
              </w:rPr>
            </w:pPr>
            <w:r w:rsidRPr="00A9116C">
              <w:rPr>
                <w:rFonts w:cs="Arial"/>
                <w:sz w:val="20"/>
                <w:lang w:val="ro-RO"/>
              </w:rPr>
              <w:t xml:space="preserve">Rețea de aprovizionare cu apă în orașul Strășeni </w:t>
            </w:r>
          </w:p>
        </w:tc>
        <w:tc>
          <w:tcPr>
            <w:tcW w:w="5424" w:type="dxa"/>
          </w:tcPr>
          <w:p w:rsidR="00625C46" w:rsidRPr="00A9116C" w:rsidRDefault="006854BB" w:rsidP="00912EE4">
            <w:pPr>
              <w:spacing w:line="240" w:lineRule="auto"/>
              <w:rPr>
                <w:rFonts w:cs="Arial"/>
                <w:sz w:val="20"/>
                <w:lang w:val="ro-RO"/>
              </w:rPr>
            </w:pPr>
            <w:r w:rsidRPr="00A9116C">
              <w:rPr>
                <w:rFonts w:cs="Arial"/>
                <w:sz w:val="20"/>
                <w:lang w:val="ro-RO"/>
              </w:rPr>
              <w:t>Proprietar oficial: municipalitatea Străș</w:t>
            </w:r>
            <w:r w:rsidR="00625C46" w:rsidRPr="00A9116C">
              <w:rPr>
                <w:rFonts w:cs="Arial"/>
                <w:sz w:val="20"/>
                <w:lang w:val="ro-RO"/>
              </w:rPr>
              <w:t>eni</w:t>
            </w:r>
          </w:p>
          <w:p w:rsidR="00625C46" w:rsidRPr="00A9116C" w:rsidRDefault="00625C46" w:rsidP="00502310">
            <w:pPr>
              <w:spacing w:line="240" w:lineRule="auto"/>
              <w:rPr>
                <w:rFonts w:cs="Arial"/>
                <w:sz w:val="20"/>
                <w:lang w:val="ro-RO"/>
              </w:rPr>
            </w:pPr>
            <w:r w:rsidRPr="00A9116C">
              <w:rPr>
                <w:rFonts w:cs="Arial"/>
                <w:sz w:val="20"/>
                <w:lang w:val="ro-RO"/>
              </w:rPr>
              <w:t xml:space="preserve">Operator: </w:t>
            </w:r>
            <w:r w:rsidR="00502310" w:rsidRPr="00A9116C">
              <w:rPr>
                <w:rFonts w:cs="Arial"/>
                <w:sz w:val="20"/>
                <w:lang w:val="ro-RO"/>
              </w:rPr>
              <w:t xml:space="preserve">Serviciul de Apă existent în Strășeni </w:t>
            </w:r>
          </w:p>
        </w:tc>
      </w:tr>
      <w:tr w:rsidR="00625C46" w:rsidRPr="00A9116C" w:rsidTr="00912EE4">
        <w:tc>
          <w:tcPr>
            <w:tcW w:w="3898" w:type="dxa"/>
          </w:tcPr>
          <w:p w:rsidR="00625C46" w:rsidRPr="00A9116C" w:rsidRDefault="004F34FD" w:rsidP="00912EE4">
            <w:pPr>
              <w:spacing w:line="240" w:lineRule="auto"/>
              <w:rPr>
                <w:rFonts w:cs="Arial"/>
                <w:sz w:val="20"/>
                <w:lang w:val="ro-RO"/>
              </w:rPr>
            </w:pPr>
            <w:r w:rsidRPr="00A9116C">
              <w:rPr>
                <w:rFonts w:cs="Arial"/>
                <w:sz w:val="20"/>
                <w:lang w:val="ro-RO"/>
              </w:rPr>
              <w:t xml:space="preserve">Rețea de </w:t>
            </w:r>
            <w:r w:rsidR="007D5DF9" w:rsidRPr="00A9116C">
              <w:rPr>
                <w:rFonts w:cs="Arial"/>
                <w:sz w:val="20"/>
                <w:lang w:val="ro-RO"/>
              </w:rPr>
              <w:t xml:space="preserve">aprovizionare cu apă în orașul Călărași </w:t>
            </w:r>
          </w:p>
        </w:tc>
        <w:tc>
          <w:tcPr>
            <w:tcW w:w="5424" w:type="dxa"/>
          </w:tcPr>
          <w:p w:rsidR="00502310" w:rsidRPr="00A9116C" w:rsidRDefault="00502310" w:rsidP="00502310">
            <w:pPr>
              <w:spacing w:line="240" w:lineRule="auto"/>
              <w:rPr>
                <w:rFonts w:cs="Arial"/>
                <w:sz w:val="20"/>
                <w:lang w:val="ro-RO"/>
              </w:rPr>
            </w:pPr>
            <w:r w:rsidRPr="00A9116C">
              <w:rPr>
                <w:rFonts w:cs="Arial"/>
                <w:sz w:val="20"/>
                <w:lang w:val="ro-RO"/>
              </w:rPr>
              <w:t>Proprietar oficial: municipalitatea Călărași</w:t>
            </w:r>
          </w:p>
          <w:p w:rsidR="00625C46" w:rsidRPr="00A9116C" w:rsidRDefault="00502310" w:rsidP="00502310">
            <w:pPr>
              <w:spacing w:line="240" w:lineRule="auto"/>
              <w:rPr>
                <w:rFonts w:cs="Arial"/>
                <w:sz w:val="20"/>
                <w:lang w:val="ro-RO"/>
              </w:rPr>
            </w:pPr>
            <w:r w:rsidRPr="00A9116C">
              <w:rPr>
                <w:rFonts w:cs="Arial"/>
                <w:sz w:val="20"/>
                <w:lang w:val="ro-RO"/>
              </w:rPr>
              <w:t xml:space="preserve">Operator: Serviciul de Apă existent în Călărași </w:t>
            </w:r>
          </w:p>
        </w:tc>
      </w:tr>
    </w:tbl>
    <w:p w:rsidR="00625C46" w:rsidRPr="00A9116C" w:rsidRDefault="00625C46" w:rsidP="00625C46">
      <w:pPr>
        <w:spacing w:after="120"/>
        <w:rPr>
          <w:rFonts w:cs="Arial"/>
          <w:szCs w:val="24"/>
          <w:lang w:val="ro-RO"/>
        </w:rPr>
      </w:pPr>
    </w:p>
    <w:p w:rsidR="00625C46" w:rsidRPr="00A9116C" w:rsidRDefault="00C772CB" w:rsidP="00625C46">
      <w:pPr>
        <w:spacing w:after="120"/>
        <w:rPr>
          <w:rFonts w:cs="Arial"/>
          <w:szCs w:val="24"/>
          <w:lang w:val="ro-RO"/>
        </w:rPr>
      </w:pPr>
      <w:r w:rsidRPr="00A9116C">
        <w:rPr>
          <w:lang w:val="ro-RO"/>
        </w:rPr>
        <w:t xml:space="preserve">ADR </w:t>
      </w:r>
      <w:r w:rsidRPr="00A9116C">
        <w:rPr>
          <w:rFonts w:cs="Arial"/>
          <w:szCs w:val="24"/>
          <w:lang w:val="ro-RO"/>
        </w:rPr>
        <w:t>Centru</w:t>
      </w:r>
      <w:r w:rsidR="00625C46" w:rsidRPr="00A9116C">
        <w:rPr>
          <w:rFonts w:cs="Arial"/>
          <w:szCs w:val="24"/>
          <w:lang w:val="ro-RO"/>
        </w:rPr>
        <w:t xml:space="preserve"> </w:t>
      </w:r>
      <w:r w:rsidRPr="00A9116C">
        <w:rPr>
          <w:rFonts w:cs="Arial"/>
          <w:szCs w:val="24"/>
          <w:lang w:val="ro-RO"/>
        </w:rPr>
        <w:t xml:space="preserve">va asigura ca </w:t>
      </w:r>
      <w:r w:rsidR="00625C46" w:rsidRPr="00A9116C">
        <w:rPr>
          <w:rFonts w:cs="Arial"/>
          <w:szCs w:val="24"/>
          <w:lang w:val="ro-RO"/>
        </w:rPr>
        <w:t>contract</w:t>
      </w:r>
      <w:r w:rsidRPr="00A9116C">
        <w:rPr>
          <w:rFonts w:cs="Arial"/>
          <w:szCs w:val="24"/>
          <w:lang w:val="ro-RO"/>
        </w:rPr>
        <w:t>ul</w:t>
      </w:r>
      <w:r w:rsidR="00625C46" w:rsidRPr="00A9116C">
        <w:rPr>
          <w:rFonts w:cs="Arial"/>
          <w:szCs w:val="24"/>
          <w:lang w:val="ro-RO"/>
        </w:rPr>
        <w:t xml:space="preserve"> la nivel de serviciu </w:t>
      </w:r>
      <w:r w:rsidRPr="00A9116C">
        <w:rPr>
          <w:rFonts w:cs="Arial"/>
          <w:szCs w:val="24"/>
          <w:lang w:val="ro-RO"/>
        </w:rPr>
        <w:t>să fie</w:t>
      </w:r>
      <w:r w:rsidR="00625C46" w:rsidRPr="00A9116C">
        <w:rPr>
          <w:rFonts w:cs="Arial"/>
          <w:szCs w:val="24"/>
          <w:lang w:val="ro-RO"/>
        </w:rPr>
        <w:t xml:space="preserve"> semn</w:t>
      </w:r>
      <w:r w:rsidRPr="00A9116C">
        <w:rPr>
          <w:rFonts w:cs="Arial"/>
          <w:szCs w:val="24"/>
          <w:lang w:val="ro-RO"/>
        </w:rPr>
        <w:t>at cu Apă</w:t>
      </w:r>
      <w:r w:rsidR="00625C46" w:rsidRPr="00A9116C">
        <w:rPr>
          <w:rFonts w:cs="Arial"/>
          <w:szCs w:val="24"/>
          <w:lang w:val="ro-RO"/>
        </w:rPr>
        <w:t xml:space="preserve"> Canal Chișinău privind buna funcționare a noii in</w:t>
      </w:r>
      <w:r w:rsidRPr="00A9116C">
        <w:rPr>
          <w:rFonts w:cs="Arial"/>
          <w:szCs w:val="24"/>
          <w:lang w:val="ro-RO"/>
        </w:rPr>
        <w:t>frastructuri în cadrul acestui P</w:t>
      </w:r>
      <w:r w:rsidR="001B2B16" w:rsidRPr="00A9116C">
        <w:rPr>
          <w:rFonts w:cs="Arial"/>
          <w:szCs w:val="24"/>
          <w:lang w:val="ro-RO"/>
        </w:rPr>
        <w:t>rogram. În cazul în care Apă</w:t>
      </w:r>
      <w:r w:rsidR="00625C46" w:rsidRPr="00A9116C">
        <w:rPr>
          <w:rFonts w:cs="Arial"/>
          <w:szCs w:val="24"/>
          <w:lang w:val="ro-RO"/>
        </w:rPr>
        <w:t xml:space="preserve"> Canal Chișinău nu </w:t>
      </w:r>
      <w:r w:rsidR="001B2B16" w:rsidRPr="00A9116C">
        <w:rPr>
          <w:rFonts w:cs="Arial"/>
          <w:szCs w:val="24"/>
          <w:lang w:val="ro-RO"/>
        </w:rPr>
        <w:t>primește conducta principală în exploatare după prelu</w:t>
      </w:r>
      <w:r w:rsidR="0016596B" w:rsidRPr="00A9116C">
        <w:rPr>
          <w:rFonts w:cs="Arial"/>
          <w:szCs w:val="24"/>
          <w:lang w:val="ro-RO"/>
        </w:rPr>
        <w:t>are acesteia</w:t>
      </w:r>
      <w:r w:rsidR="00625C46" w:rsidRPr="00A9116C">
        <w:rPr>
          <w:rFonts w:cs="Arial"/>
          <w:szCs w:val="24"/>
          <w:lang w:val="ro-RO"/>
        </w:rPr>
        <w:t xml:space="preserve">, </w:t>
      </w:r>
      <w:r w:rsidR="00B91C4F" w:rsidRPr="00A9116C">
        <w:rPr>
          <w:rFonts w:cs="Arial"/>
          <w:szCs w:val="24"/>
          <w:lang w:val="ro-RO"/>
        </w:rPr>
        <w:t>ADR Centru trebuie să organizeze funcționarea provizorie a conductei principale</w:t>
      </w:r>
      <w:r w:rsidR="00625C46" w:rsidRPr="00A9116C">
        <w:rPr>
          <w:rFonts w:cs="Arial"/>
          <w:szCs w:val="24"/>
          <w:lang w:val="ro-RO"/>
        </w:rPr>
        <w:t xml:space="preserve"> prin intermediul Companiei de Construcții (inclusă în</w:t>
      </w:r>
      <w:r w:rsidR="00901D68" w:rsidRPr="00A9116C">
        <w:rPr>
          <w:rFonts w:cs="Arial"/>
          <w:szCs w:val="24"/>
          <w:lang w:val="ro-RO"/>
        </w:rPr>
        <w:t xml:space="preserve"> Specificația Volumului de Lucrări</w:t>
      </w:r>
      <w:r w:rsidR="00FF23ED" w:rsidRPr="00A9116C">
        <w:rPr>
          <w:rFonts w:cs="Arial"/>
          <w:szCs w:val="24"/>
          <w:lang w:val="ro-RO"/>
        </w:rPr>
        <w:t>) și finanțarea</w:t>
      </w:r>
      <w:r w:rsidR="00625C46" w:rsidRPr="00A9116C">
        <w:rPr>
          <w:rFonts w:cs="Arial"/>
          <w:szCs w:val="24"/>
          <w:lang w:val="ro-RO"/>
        </w:rPr>
        <w:t xml:space="preserve"> din fonduri proprii. .</w:t>
      </w:r>
    </w:p>
    <w:p w:rsidR="00625C46" w:rsidRPr="00A9116C" w:rsidRDefault="00625C46" w:rsidP="00625C46">
      <w:pPr>
        <w:spacing w:after="120"/>
        <w:rPr>
          <w:rFonts w:cs="Arial"/>
          <w:szCs w:val="24"/>
          <w:lang w:val="ro-RO"/>
        </w:rPr>
      </w:pPr>
      <w:r w:rsidRPr="00A9116C">
        <w:rPr>
          <w:rFonts w:cs="Arial"/>
          <w:szCs w:val="24"/>
          <w:lang w:val="ro-RO"/>
        </w:rPr>
        <w:t xml:space="preserve">Municipalitățile beneficiare și </w:t>
      </w:r>
      <w:r w:rsidR="00895795" w:rsidRPr="00A9116C">
        <w:rPr>
          <w:rFonts w:cs="Arial"/>
          <w:szCs w:val="24"/>
          <w:lang w:val="ro-RO"/>
        </w:rPr>
        <w:t xml:space="preserve">furnizorii de apă beneficiari se angajează să </w:t>
      </w:r>
      <w:r w:rsidRPr="00A9116C">
        <w:rPr>
          <w:rFonts w:cs="Arial"/>
          <w:szCs w:val="24"/>
          <w:lang w:val="ro-RO"/>
        </w:rPr>
        <w:t xml:space="preserve">asigure </w:t>
      </w:r>
      <w:r w:rsidR="00895795" w:rsidRPr="00A9116C">
        <w:rPr>
          <w:rFonts w:cs="Arial"/>
          <w:szCs w:val="24"/>
          <w:lang w:val="ro-RO"/>
        </w:rPr>
        <w:t>întreprinderea tuturor măsurilor necesare</w:t>
      </w:r>
      <w:r w:rsidRPr="00A9116C">
        <w:rPr>
          <w:rFonts w:cs="Arial"/>
          <w:szCs w:val="24"/>
          <w:lang w:val="ro-RO"/>
        </w:rPr>
        <w:t xml:space="preserve"> de </w:t>
      </w:r>
      <w:r w:rsidR="00895795" w:rsidRPr="00A9116C">
        <w:rPr>
          <w:rFonts w:cs="Arial"/>
          <w:szCs w:val="24"/>
          <w:lang w:val="ro-RO"/>
        </w:rPr>
        <w:t xml:space="preserve">către </w:t>
      </w:r>
      <w:r w:rsidR="003456BF" w:rsidRPr="00A9116C">
        <w:rPr>
          <w:rFonts w:cs="Arial"/>
          <w:szCs w:val="24"/>
          <w:lang w:val="ro-RO"/>
        </w:rPr>
        <w:t xml:space="preserve">operatori, astfel încât </w:t>
      </w:r>
      <w:r w:rsidR="00FB29DF" w:rsidRPr="00A9116C">
        <w:rPr>
          <w:rFonts w:cs="Arial"/>
          <w:szCs w:val="24"/>
          <w:lang w:val="ro-RO"/>
        </w:rPr>
        <w:t xml:space="preserve">tarifele stabilite de </w:t>
      </w:r>
      <w:r w:rsidR="00034B03" w:rsidRPr="00A9116C">
        <w:rPr>
          <w:rFonts w:cs="Arial"/>
          <w:szCs w:val="24"/>
          <w:lang w:val="ro-RO"/>
        </w:rPr>
        <w:t xml:space="preserve">NARE </w:t>
      </w:r>
      <w:r w:rsidR="003456BF" w:rsidRPr="00A9116C">
        <w:rPr>
          <w:rFonts w:cs="Arial"/>
          <w:szCs w:val="24"/>
          <w:lang w:val="ro-RO"/>
        </w:rPr>
        <w:t xml:space="preserve">să </w:t>
      </w:r>
      <w:r w:rsidR="00FB29DF" w:rsidRPr="00A9116C">
        <w:rPr>
          <w:rFonts w:cs="Arial"/>
          <w:szCs w:val="24"/>
          <w:lang w:val="ro-RO"/>
        </w:rPr>
        <w:t>acopere</w:t>
      </w:r>
      <w:r w:rsidRPr="00A9116C">
        <w:rPr>
          <w:rFonts w:cs="Arial"/>
          <w:szCs w:val="24"/>
          <w:lang w:val="ro-RO"/>
        </w:rPr>
        <w:t xml:space="preserve"> cel puțin costurile operaționale, </w:t>
      </w:r>
      <w:r w:rsidR="00FB29DF" w:rsidRPr="00A9116C">
        <w:rPr>
          <w:rFonts w:cs="Arial"/>
          <w:szCs w:val="24"/>
          <w:lang w:val="ro-RO"/>
        </w:rPr>
        <w:t xml:space="preserve">concomitent </w:t>
      </w:r>
      <w:r w:rsidRPr="00A9116C">
        <w:rPr>
          <w:rFonts w:cs="Arial"/>
          <w:szCs w:val="24"/>
          <w:lang w:val="ro-RO"/>
        </w:rPr>
        <w:t>introducând</w:t>
      </w:r>
      <w:r w:rsidR="002C3F57" w:rsidRPr="00A9116C">
        <w:rPr>
          <w:rFonts w:cs="Arial"/>
          <w:szCs w:val="24"/>
          <w:lang w:val="ro-RO"/>
        </w:rPr>
        <w:t xml:space="preserve"> parțial</w:t>
      </w:r>
      <w:r w:rsidRPr="00A9116C">
        <w:rPr>
          <w:rFonts w:cs="Arial"/>
          <w:szCs w:val="24"/>
          <w:lang w:val="ro-RO"/>
        </w:rPr>
        <w:t xml:space="preserve"> </w:t>
      </w:r>
      <w:r w:rsidR="002C3F57" w:rsidRPr="00A9116C">
        <w:rPr>
          <w:rFonts w:cs="Arial"/>
          <w:szCs w:val="24"/>
          <w:lang w:val="ro-RO"/>
        </w:rPr>
        <w:t>tarife care să acopere integral</w:t>
      </w:r>
      <w:r w:rsidRPr="00A9116C">
        <w:rPr>
          <w:rFonts w:cs="Arial"/>
          <w:szCs w:val="24"/>
          <w:lang w:val="ro-RO"/>
        </w:rPr>
        <w:t xml:space="preserve"> </w:t>
      </w:r>
      <w:r w:rsidR="009A4BFF" w:rsidRPr="00A9116C">
        <w:rPr>
          <w:rFonts w:cs="Arial"/>
          <w:szCs w:val="24"/>
          <w:lang w:val="ro-RO"/>
        </w:rPr>
        <w:t>costurile conform recomandărilor</w:t>
      </w:r>
      <w:r w:rsidRPr="00A9116C">
        <w:rPr>
          <w:rFonts w:cs="Arial"/>
          <w:szCs w:val="24"/>
          <w:lang w:val="ro-RO"/>
        </w:rPr>
        <w:t xml:space="preserve"> studiului de f</w:t>
      </w:r>
      <w:r w:rsidR="009A4BFF" w:rsidRPr="00A9116C">
        <w:rPr>
          <w:rFonts w:cs="Arial"/>
          <w:szCs w:val="24"/>
          <w:lang w:val="ro-RO"/>
        </w:rPr>
        <w:t>ezabilitate</w:t>
      </w:r>
      <w:r w:rsidRPr="00A9116C">
        <w:rPr>
          <w:rFonts w:cs="Arial"/>
          <w:szCs w:val="24"/>
          <w:lang w:val="ro-RO"/>
        </w:rPr>
        <w:t xml:space="preserve">. </w:t>
      </w:r>
      <w:r w:rsidR="009A4BFF" w:rsidRPr="00A9116C">
        <w:rPr>
          <w:rFonts w:cs="Arial"/>
          <w:szCs w:val="24"/>
          <w:lang w:val="ro-RO"/>
        </w:rPr>
        <w:t xml:space="preserve">ADR </w:t>
      </w:r>
      <w:r w:rsidRPr="00A9116C">
        <w:rPr>
          <w:rFonts w:cs="Arial"/>
          <w:szCs w:val="24"/>
          <w:lang w:val="ro-RO"/>
        </w:rPr>
        <w:t xml:space="preserve">Centru va transmite anual KfW cel târziu până la sfârșitul primului trimestru al anului următor informații despre interacțiunea cu </w:t>
      </w:r>
      <w:r w:rsidR="00626846">
        <w:rPr>
          <w:rFonts w:cs="Arial"/>
          <w:szCs w:val="24"/>
          <w:lang w:val="ro-RO"/>
        </w:rPr>
        <w:t>AN</w:t>
      </w:r>
      <w:r w:rsidR="00034B03" w:rsidRPr="00A9116C">
        <w:rPr>
          <w:rFonts w:cs="Arial"/>
          <w:szCs w:val="24"/>
          <w:lang w:val="ro-RO"/>
        </w:rPr>
        <w:t xml:space="preserve">RE </w:t>
      </w:r>
      <w:r w:rsidR="0087333B" w:rsidRPr="00A9116C">
        <w:rPr>
          <w:rFonts w:cs="Arial"/>
          <w:szCs w:val="24"/>
          <w:lang w:val="ro-RO"/>
        </w:rPr>
        <w:t>și dovezile privind tarifele la</w:t>
      </w:r>
      <w:r w:rsidRPr="00A9116C">
        <w:rPr>
          <w:rFonts w:cs="Arial"/>
          <w:szCs w:val="24"/>
          <w:lang w:val="ro-RO"/>
        </w:rPr>
        <w:t xml:space="preserve"> apă și la intrarea lor în vigoare.</w:t>
      </w:r>
    </w:p>
    <w:p w:rsidR="00625C46" w:rsidRPr="00A9116C" w:rsidRDefault="00625C46" w:rsidP="00625C46">
      <w:pPr>
        <w:spacing w:after="120"/>
        <w:rPr>
          <w:lang w:val="ro-RO"/>
        </w:rPr>
      </w:pPr>
      <w:r w:rsidRPr="00A9116C">
        <w:rPr>
          <w:rFonts w:cs="Arial"/>
          <w:szCs w:val="24"/>
          <w:lang w:val="ro-RO"/>
        </w:rPr>
        <w:lastRenderedPageBreak/>
        <w:t xml:space="preserve">Municipalitățile beneficiare Strășeni și Călărași și </w:t>
      </w:r>
      <w:r w:rsidR="0087333B" w:rsidRPr="00A9116C">
        <w:rPr>
          <w:rFonts w:cs="Arial"/>
          <w:szCs w:val="24"/>
          <w:lang w:val="ro-RO"/>
        </w:rPr>
        <w:t>furnizorii</w:t>
      </w:r>
      <w:r w:rsidRPr="00A9116C">
        <w:rPr>
          <w:rFonts w:cs="Arial"/>
          <w:szCs w:val="24"/>
          <w:lang w:val="ro-RO"/>
        </w:rPr>
        <w:t xml:space="preserve"> de apă (Strășeni, Călărași și Apa Canal Ch</w:t>
      </w:r>
      <w:r w:rsidR="00E20E7E" w:rsidRPr="00A9116C">
        <w:rPr>
          <w:rFonts w:cs="Arial"/>
          <w:szCs w:val="24"/>
          <w:lang w:val="ro-RO"/>
        </w:rPr>
        <w:t>ișinău) se angajează să prezinte</w:t>
      </w:r>
      <w:r w:rsidRPr="00A9116C">
        <w:rPr>
          <w:rFonts w:cs="Arial"/>
          <w:szCs w:val="24"/>
          <w:lang w:val="ro-RO"/>
        </w:rPr>
        <w:t xml:space="preserve"> KfW în fiecare an după aprobarea bugetului </w:t>
      </w:r>
      <w:r w:rsidR="00E4549F" w:rsidRPr="00A9116C">
        <w:rPr>
          <w:rFonts w:cs="Arial"/>
          <w:szCs w:val="24"/>
          <w:lang w:val="ro-RO"/>
        </w:rPr>
        <w:t xml:space="preserve">o </w:t>
      </w:r>
      <w:r w:rsidR="00E20E7E" w:rsidRPr="00A9116C">
        <w:rPr>
          <w:rFonts w:cs="Arial"/>
          <w:szCs w:val="24"/>
          <w:lang w:val="ro-RO"/>
        </w:rPr>
        <w:t xml:space="preserve">confirmare a acoperirii costurilor </w:t>
      </w:r>
      <w:r w:rsidRPr="00A9116C">
        <w:rPr>
          <w:rFonts w:cs="Arial"/>
          <w:szCs w:val="24"/>
          <w:lang w:val="ro-RO"/>
        </w:rPr>
        <w:t xml:space="preserve">O&amp;M </w:t>
      </w:r>
      <w:r w:rsidR="00E20E7E" w:rsidRPr="00A9116C">
        <w:rPr>
          <w:rFonts w:cs="Arial"/>
          <w:szCs w:val="24"/>
          <w:lang w:val="ro-RO"/>
        </w:rPr>
        <w:t>din contul tarifelor</w:t>
      </w:r>
      <w:r w:rsidRPr="00A9116C">
        <w:rPr>
          <w:rFonts w:cs="Arial"/>
          <w:szCs w:val="24"/>
          <w:lang w:val="ro-RO"/>
        </w:rPr>
        <w:t xml:space="preserve"> </w:t>
      </w:r>
      <w:r w:rsidR="00E20E7E" w:rsidRPr="00A9116C">
        <w:rPr>
          <w:rFonts w:cs="Arial"/>
          <w:szCs w:val="24"/>
          <w:lang w:val="ro-RO"/>
        </w:rPr>
        <w:t xml:space="preserve">actuale </w:t>
      </w:r>
      <w:r w:rsidRPr="00A9116C">
        <w:rPr>
          <w:rFonts w:cs="Arial"/>
          <w:szCs w:val="24"/>
          <w:lang w:val="ro-RO"/>
        </w:rPr>
        <w:t xml:space="preserve">sau </w:t>
      </w:r>
      <w:r w:rsidR="00180756" w:rsidRPr="00A9116C">
        <w:rPr>
          <w:rFonts w:cs="Arial"/>
          <w:szCs w:val="24"/>
          <w:lang w:val="ro-RO"/>
        </w:rPr>
        <w:t xml:space="preserve">a </w:t>
      </w:r>
      <w:r w:rsidR="00F50E2B" w:rsidRPr="00A9116C">
        <w:rPr>
          <w:rFonts w:cs="Arial"/>
          <w:szCs w:val="24"/>
          <w:lang w:val="ro-RO"/>
        </w:rPr>
        <w:t xml:space="preserve">antrenării </w:t>
      </w:r>
      <w:r w:rsidR="00F800D4" w:rsidRPr="00A9116C">
        <w:rPr>
          <w:rFonts w:cs="Arial"/>
          <w:szCs w:val="24"/>
          <w:lang w:val="ro-RO"/>
        </w:rPr>
        <w:t xml:space="preserve">în bugetele municipalității a </w:t>
      </w:r>
      <w:r w:rsidRPr="00A9116C">
        <w:rPr>
          <w:rFonts w:cs="Arial"/>
          <w:szCs w:val="24"/>
          <w:lang w:val="ro-RO"/>
        </w:rPr>
        <w:t>fonduri</w:t>
      </w:r>
      <w:r w:rsidR="00F50E2B" w:rsidRPr="00A9116C">
        <w:rPr>
          <w:rFonts w:cs="Arial"/>
          <w:szCs w:val="24"/>
          <w:lang w:val="ro-RO"/>
        </w:rPr>
        <w:t>lor</w:t>
      </w:r>
      <w:r w:rsidRPr="00A9116C">
        <w:rPr>
          <w:rFonts w:cs="Arial"/>
          <w:szCs w:val="24"/>
          <w:lang w:val="ro-RO"/>
        </w:rPr>
        <w:t xml:space="preserve"> suplimentare </w:t>
      </w:r>
      <w:r w:rsidR="00F50E2B" w:rsidRPr="00A9116C">
        <w:rPr>
          <w:rFonts w:cs="Arial"/>
          <w:szCs w:val="24"/>
          <w:lang w:val="ro-RO"/>
        </w:rPr>
        <w:t xml:space="preserve">necesare </w:t>
      </w:r>
      <w:r w:rsidRPr="00A9116C">
        <w:rPr>
          <w:rFonts w:cs="Arial"/>
          <w:szCs w:val="24"/>
          <w:lang w:val="ro-RO"/>
        </w:rPr>
        <w:t xml:space="preserve">pentru costurile </w:t>
      </w:r>
      <w:r w:rsidR="00F50E2B" w:rsidRPr="00A9116C">
        <w:rPr>
          <w:rFonts w:cs="Arial"/>
          <w:szCs w:val="24"/>
          <w:lang w:val="ro-RO"/>
        </w:rPr>
        <w:t>neacoperite</w:t>
      </w:r>
      <w:r w:rsidRPr="00A9116C">
        <w:rPr>
          <w:rFonts w:cs="Arial"/>
          <w:szCs w:val="24"/>
          <w:lang w:val="ro-RO"/>
        </w:rPr>
        <w:t>. Transferul acestor fonduri către operatorii respec</w:t>
      </w:r>
      <w:r w:rsidR="00F800D4" w:rsidRPr="00A9116C">
        <w:rPr>
          <w:rFonts w:cs="Arial"/>
          <w:szCs w:val="24"/>
          <w:lang w:val="ro-RO"/>
        </w:rPr>
        <w:t>tivi va fi raportat de către ADR Cent</w:t>
      </w:r>
      <w:r w:rsidRPr="00A9116C">
        <w:rPr>
          <w:rFonts w:cs="Arial"/>
          <w:szCs w:val="24"/>
          <w:lang w:val="ro-RO"/>
        </w:rPr>
        <w:t>r</w:t>
      </w:r>
      <w:r w:rsidR="00F800D4" w:rsidRPr="00A9116C">
        <w:rPr>
          <w:rFonts w:cs="Arial"/>
          <w:szCs w:val="24"/>
          <w:lang w:val="ro-RO"/>
        </w:rPr>
        <w:t>u</w:t>
      </w:r>
      <w:r w:rsidR="00B9618C" w:rsidRPr="00A9116C">
        <w:rPr>
          <w:rFonts w:cs="Arial"/>
          <w:szCs w:val="24"/>
          <w:lang w:val="ro-RO"/>
        </w:rPr>
        <w:t xml:space="preserve"> cel târziu</w:t>
      </w:r>
      <w:r w:rsidRPr="00A9116C">
        <w:rPr>
          <w:rFonts w:cs="Arial"/>
          <w:szCs w:val="24"/>
          <w:lang w:val="ro-RO"/>
        </w:rPr>
        <w:t xml:space="preserve"> până la sfârșitul primului trimestru al anului următor.</w:t>
      </w:r>
    </w:p>
    <w:p w:rsidR="00625C46" w:rsidRPr="00A9116C" w:rsidRDefault="00417F05" w:rsidP="00625C46">
      <w:pPr>
        <w:pStyle w:val="2"/>
        <w:numPr>
          <w:ilvl w:val="1"/>
          <w:numId w:val="6"/>
        </w:numPr>
        <w:rPr>
          <w:lang w:val="ro-RO"/>
        </w:rPr>
      </w:pPr>
      <w:r w:rsidRPr="00A9116C">
        <w:rPr>
          <w:u w:val="single"/>
          <w:lang w:val="ro-RO"/>
        </w:rPr>
        <w:t xml:space="preserve">Contracte pentru Lucrări, Bunuri, Instalații și Servicii, Rezervări și Debursări </w:t>
      </w:r>
    </w:p>
    <w:p w:rsidR="00625C46" w:rsidRPr="00A9116C" w:rsidRDefault="00417F05" w:rsidP="00625C46">
      <w:pPr>
        <w:pStyle w:val="3"/>
        <w:numPr>
          <w:ilvl w:val="2"/>
          <w:numId w:val="10"/>
        </w:numPr>
        <w:rPr>
          <w:lang w:val="ro-RO"/>
        </w:rPr>
      </w:pPr>
      <w:r w:rsidRPr="00A9116C">
        <w:rPr>
          <w:b/>
          <w:u w:val="single"/>
          <w:lang w:val="ro-RO"/>
        </w:rPr>
        <w:t xml:space="preserve">Contracte și Rezervări </w:t>
      </w:r>
    </w:p>
    <w:p w:rsidR="00625C46" w:rsidRPr="00A9116C" w:rsidRDefault="00625C46" w:rsidP="00625C46">
      <w:pPr>
        <w:pStyle w:val="4"/>
        <w:numPr>
          <w:ilvl w:val="0"/>
          <w:numId w:val="0"/>
        </w:numPr>
        <w:rPr>
          <w:lang w:val="ro-RO"/>
        </w:rPr>
      </w:pPr>
      <w:r w:rsidRPr="00A9116C">
        <w:rPr>
          <w:lang w:val="ro-RO"/>
        </w:rPr>
        <w:t xml:space="preserve">KfW va rezerva sumele Grantului pe baza contractelor încheiate pentru lucrări, bunuri, instalații și servicii. KfW </w:t>
      </w:r>
      <w:r w:rsidR="005F0A75" w:rsidRPr="00A9116C">
        <w:rPr>
          <w:lang w:val="ro-RO"/>
        </w:rPr>
        <w:t xml:space="preserve">i se </w:t>
      </w:r>
      <w:r w:rsidRPr="00A9116C">
        <w:rPr>
          <w:lang w:val="ro-RO"/>
        </w:rPr>
        <w:t xml:space="preserve">va </w:t>
      </w:r>
      <w:r w:rsidR="005F0A75" w:rsidRPr="00A9116C">
        <w:rPr>
          <w:lang w:val="ro-RO"/>
        </w:rPr>
        <w:t>furniza</w:t>
      </w:r>
      <w:r w:rsidRPr="00A9116C">
        <w:rPr>
          <w:lang w:val="ro-RO"/>
        </w:rPr>
        <w:t xml:space="preserve"> </w:t>
      </w:r>
      <w:r w:rsidR="005F0A75" w:rsidRPr="00A9116C">
        <w:rPr>
          <w:lang w:val="ro-RO"/>
        </w:rPr>
        <w:t>câte</w:t>
      </w:r>
      <w:r w:rsidRPr="00A9116C">
        <w:rPr>
          <w:lang w:val="ro-RO"/>
        </w:rPr>
        <w:t xml:space="preserve"> o copie a fiecăruia dintre contractele menționate și a </w:t>
      </w:r>
      <w:r w:rsidR="006D6C67" w:rsidRPr="00A9116C">
        <w:rPr>
          <w:lang w:val="ro-RO"/>
        </w:rPr>
        <w:t>oricărui amendament operat la</w:t>
      </w:r>
      <w:r w:rsidRPr="00A9116C">
        <w:rPr>
          <w:lang w:val="ro-RO"/>
        </w:rPr>
        <w:t xml:space="preserve"> oric</w:t>
      </w:r>
      <w:r w:rsidR="006D6C67" w:rsidRPr="00A9116C">
        <w:rPr>
          <w:lang w:val="ro-RO"/>
        </w:rPr>
        <w:t>are din</w:t>
      </w:r>
      <w:r w:rsidRPr="00A9116C">
        <w:rPr>
          <w:lang w:val="ro-RO"/>
        </w:rPr>
        <w:t xml:space="preserve"> contract</w:t>
      </w:r>
      <w:r w:rsidR="006D6C67" w:rsidRPr="00A9116C">
        <w:rPr>
          <w:lang w:val="ro-RO"/>
        </w:rPr>
        <w:t>e</w:t>
      </w:r>
      <w:r w:rsidR="00001810" w:rsidRPr="00A9116C">
        <w:rPr>
          <w:lang w:val="ro-RO"/>
        </w:rPr>
        <w:t>le în cauză</w:t>
      </w:r>
      <w:r w:rsidRPr="00A9116C">
        <w:rPr>
          <w:lang w:val="ro-RO"/>
        </w:rPr>
        <w:t xml:space="preserve">. </w:t>
      </w:r>
      <w:r w:rsidR="005E1990" w:rsidRPr="00A9116C">
        <w:rPr>
          <w:lang w:val="ro-RO"/>
        </w:rPr>
        <w:t xml:space="preserve">La solicitare, </w:t>
      </w:r>
      <w:r w:rsidRPr="00A9116C">
        <w:rPr>
          <w:lang w:val="ro-RO"/>
        </w:rPr>
        <w:t xml:space="preserve">KfW va informa Agenția de Executare a Proiectului </w:t>
      </w:r>
      <w:r w:rsidR="005E1990" w:rsidRPr="00A9116C">
        <w:rPr>
          <w:lang w:val="ro-RO"/>
        </w:rPr>
        <w:t>referitor la sumele</w:t>
      </w:r>
      <w:r w:rsidRPr="00A9116C">
        <w:rPr>
          <w:lang w:val="ro-RO"/>
        </w:rPr>
        <w:t xml:space="preserve"> Grantului pe care le-a rezervat pentru finanțare, </w:t>
      </w:r>
      <w:r w:rsidR="005E1990" w:rsidRPr="00A9116C">
        <w:rPr>
          <w:lang w:val="ro-RO"/>
        </w:rPr>
        <w:t xml:space="preserve">prezentând lista cu rezervări </w:t>
      </w:r>
      <w:r w:rsidRPr="00A9116C">
        <w:rPr>
          <w:lang w:val="ro-RO"/>
        </w:rPr>
        <w:t>(KfW - „LOGAS”, KfW-Lista de bunuri și servicii).</w:t>
      </w:r>
    </w:p>
    <w:p w:rsidR="00625C46" w:rsidRPr="00A9116C" w:rsidRDefault="005B70AB" w:rsidP="00625C46">
      <w:pPr>
        <w:pStyle w:val="3"/>
        <w:numPr>
          <w:ilvl w:val="2"/>
          <w:numId w:val="6"/>
        </w:numPr>
        <w:rPr>
          <w:lang w:val="ro-RO"/>
        </w:rPr>
      </w:pPr>
      <w:r w:rsidRPr="00A9116C">
        <w:rPr>
          <w:b/>
          <w:u w:val="single"/>
          <w:lang w:val="ro-RO"/>
        </w:rPr>
        <w:t xml:space="preserve">Procedura de Debursare </w:t>
      </w:r>
    </w:p>
    <w:p w:rsidR="00625C46" w:rsidRPr="00A9116C" w:rsidRDefault="005F71B4" w:rsidP="00625C46">
      <w:pPr>
        <w:rPr>
          <w:lang w:val="ro-RO"/>
        </w:rPr>
      </w:pPr>
      <w:r w:rsidRPr="00A9116C">
        <w:rPr>
          <w:lang w:val="ro-RO"/>
        </w:rPr>
        <w:t>Debursarea Grantului</w:t>
      </w:r>
      <w:r w:rsidR="00625C46" w:rsidRPr="00A9116C">
        <w:rPr>
          <w:lang w:val="ro-RO"/>
        </w:rPr>
        <w:t xml:space="preserve"> este su</w:t>
      </w:r>
      <w:r w:rsidRPr="00A9116C">
        <w:rPr>
          <w:lang w:val="ro-RO"/>
        </w:rPr>
        <w:t>pusă procedurilor specificate în Anexa 4 (P</w:t>
      </w:r>
      <w:r w:rsidR="00625C46" w:rsidRPr="00A9116C">
        <w:rPr>
          <w:lang w:val="ro-RO"/>
        </w:rPr>
        <w:t xml:space="preserve">rocedura de </w:t>
      </w:r>
      <w:r w:rsidRPr="00A9116C">
        <w:rPr>
          <w:lang w:val="ro-RO"/>
        </w:rPr>
        <w:t>Debursare</w:t>
      </w:r>
      <w:r w:rsidR="00625C46" w:rsidRPr="00A9116C">
        <w:rPr>
          <w:lang w:val="ro-RO"/>
        </w:rPr>
        <w:t xml:space="preserve">), care </w:t>
      </w:r>
      <w:r w:rsidRPr="00A9116C">
        <w:rPr>
          <w:lang w:val="ro-RO"/>
        </w:rPr>
        <w:t>constituie parte integrantă a</w:t>
      </w:r>
      <w:r w:rsidR="00625C46" w:rsidRPr="00A9116C">
        <w:rPr>
          <w:lang w:val="ro-RO"/>
        </w:rPr>
        <w:t xml:space="preserve"> prezentul</w:t>
      </w:r>
      <w:r w:rsidRPr="00A9116C">
        <w:rPr>
          <w:lang w:val="ro-RO"/>
        </w:rPr>
        <w:t>ui A</w:t>
      </w:r>
      <w:r w:rsidR="00625C46" w:rsidRPr="00A9116C">
        <w:rPr>
          <w:lang w:val="ro-RO"/>
        </w:rPr>
        <w:t xml:space="preserve">cord. </w:t>
      </w:r>
      <w:r w:rsidR="002408A6" w:rsidRPr="00A9116C">
        <w:rPr>
          <w:lang w:val="ro-RO"/>
        </w:rPr>
        <w:t>Anexa privind</w:t>
      </w:r>
      <w:r w:rsidR="00625C46" w:rsidRPr="00A9116C">
        <w:rPr>
          <w:lang w:val="ro-RO"/>
        </w:rPr>
        <w:t xml:space="preserve"> </w:t>
      </w:r>
      <w:r w:rsidR="002408A6" w:rsidRPr="00A9116C">
        <w:rPr>
          <w:lang w:val="ro-RO"/>
        </w:rPr>
        <w:t>Debursarea</w:t>
      </w:r>
      <w:r w:rsidR="00625C46" w:rsidRPr="00A9116C">
        <w:rPr>
          <w:lang w:val="ro-RO"/>
        </w:rPr>
        <w:t xml:space="preserve"> conține </w:t>
      </w:r>
      <w:r w:rsidR="002408A6" w:rsidRPr="00A9116C">
        <w:rPr>
          <w:lang w:val="ro-RO"/>
        </w:rPr>
        <w:t>prevederile</w:t>
      </w:r>
      <w:r w:rsidR="00625C46" w:rsidRPr="00A9116C">
        <w:rPr>
          <w:lang w:val="ro-RO"/>
        </w:rPr>
        <w:t xml:space="preserve"> și standardele legale </w:t>
      </w:r>
      <w:r w:rsidR="002408A6" w:rsidRPr="00A9116C">
        <w:rPr>
          <w:lang w:val="ro-RO"/>
        </w:rPr>
        <w:t>referitoare la</w:t>
      </w:r>
      <w:r w:rsidR="00625C46" w:rsidRPr="00A9116C">
        <w:rPr>
          <w:lang w:val="ro-RO"/>
        </w:rPr>
        <w:t xml:space="preserve"> procedurile care trebuie utilizate, care reglementează, printre altele, obligațiile cu privire la </w:t>
      </w:r>
      <w:r w:rsidR="00006940" w:rsidRPr="00A9116C">
        <w:rPr>
          <w:lang w:val="ro-RO"/>
        </w:rPr>
        <w:t>rechizitele</w:t>
      </w:r>
      <w:r w:rsidR="00625C46" w:rsidRPr="00A9116C">
        <w:rPr>
          <w:lang w:val="ro-RO"/>
        </w:rPr>
        <w:t xml:space="preserve"> contului bancar, răspunderea în procesul de plată, ratele de schimb, </w:t>
      </w:r>
      <w:r w:rsidR="00006940" w:rsidRPr="00A9116C">
        <w:rPr>
          <w:lang w:val="ro-RO"/>
        </w:rPr>
        <w:t>specimenele de semnături</w:t>
      </w:r>
      <w:r w:rsidR="00625C46" w:rsidRPr="00A9116C">
        <w:rPr>
          <w:lang w:val="ro-RO"/>
        </w:rPr>
        <w:t xml:space="preserve">, cererile de </w:t>
      </w:r>
      <w:r w:rsidR="00006940" w:rsidRPr="00A9116C">
        <w:rPr>
          <w:lang w:val="ro-RO"/>
        </w:rPr>
        <w:t>debursare</w:t>
      </w:r>
      <w:r w:rsidR="00625C46" w:rsidRPr="00A9116C">
        <w:rPr>
          <w:lang w:val="ro-RO"/>
        </w:rPr>
        <w:t xml:space="preserve"> și doc</w:t>
      </w:r>
      <w:r w:rsidR="00F64C2C" w:rsidRPr="00A9116C">
        <w:rPr>
          <w:lang w:val="ro-RO"/>
        </w:rPr>
        <w:t>umentația care trebuie prezentată</w:t>
      </w:r>
      <w:r w:rsidR="00625C46" w:rsidRPr="00A9116C">
        <w:rPr>
          <w:lang w:val="ro-RO"/>
        </w:rPr>
        <w:t xml:space="preserve"> </w:t>
      </w:r>
      <w:r w:rsidR="00F64C2C" w:rsidRPr="00A9116C">
        <w:rPr>
          <w:lang w:val="ro-RO"/>
        </w:rPr>
        <w:t>pentru confirmarea utilizării</w:t>
      </w:r>
      <w:r w:rsidR="00625C46" w:rsidRPr="00A9116C">
        <w:rPr>
          <w:lang w:val="ro-RO"/>
        </w:rPr>
        <w:t xml:space="preserve"> fondurilor</w:t>
      </w:r>
      <w:r w:rsidR="00F64C2C" w:rsidRPr="00A9116C">
        <w:rPr>
          <w:lang w:val="ro-RO"/>
        </w:rPr>
        <w:t xml:space="preserve"> la destinație</w:t>
      </w:r>
      <w:r w:rsidR="00625C46" w:rsidRPr="00A9116C">
        <w:rPr>
          <w:lang w:val="ro-RO"/>
        </w:rPr>
        <w:t>.</w:t>
      </w:r>
    </w:p>
    <w:p w:rsidR="00625C46" w:rsidRPr="00A9116C" w:rsidRDefault="008F5C3C" w:rsidP="00625C46">
      <w:pPr>
        <w:pStyle w:val="2"/>
        <w:keepNext/>
        <w:keepLines/>
        <w:widowControl w:val="0"/>
        <w:numPr>
          <w:ilvl w:val="1"/>
          <w:numId w:val="6"/>
        </w:numPr>
        <w:rPr>
          <w:b w:val="0"/>
          <w:lang w:val="ro-RO"/>
        </w:rPr>
      </w:pPr>
      <w:r w:rsidRPr="00A9116C">
        <w:rPr>
          <w:u w:val="single"/>
          <w:lang w:val="ro-RO"/>
        </w:rPr>
        <w:t xml:space="preserve">Raportări și Alte Prevederi  </w:t>
      </w:r>
    </w:p>
    <w:p w:rsidR="00625C46" w:rsidRPr="00A9116C" w:rsidRDefault="008F5C3C" w:rsidP="00625C46">
      <w:pPr>
        <w:pStyle w:val="3"/>
        <w:keepNext/>
        <w:numPr>
          <w:ilvl w:val="2"/>
          <w:numId w:val="12"/>
        </w:numPr>
        <w:tabs>
          <w:tab w:val="clear" w:pos="851"/>
        </w:tabs>
        <w:ind w:left="0" w:firstLine="0"/>
        <w:rPr>
          <w:lang w:val="ro-RO"/>
        </w:rPr>
      </w:pPr>
      <w:r w:rsidRPr="00A9116C">
        <w:rPr>
          <w:b/>
          <w:u w:val="single"/>
          <w:lang w:val="ro-RO"/>
        </w:rPr>
        <w:t xml:space="preserve">Raportări </w:t>
      </w:r>
    </w:p>
    <w:p w:rsidR="00625C46" w:rsidRPr="00A9116C" w:rsidRDefault="00625C46" w:rsidP="00625C46">
      <w:pPr>
        <w:pStyle w:val="berschrift4c"/>
        <w:rPr>
          <w:lang w:val="ro-RO"/>
        </w:rPr>
      </w:pPr>
      <w:r w:rsidRPr="00A9116C">
        <w:rPr>
          <w:lang w:val="ro-RO"/>
        </w:rPr>
        <w:t xml:space="preserve">Până la o notificare suplimentară, Agenția de Executare a Proiectului raportează KfW lunar, trimestrial și anual cu privire la evoluția </w:t>
      </w:r>
      <w:r w:rsidR="00A32443" w:rsidRPr="00A9116C">
        <w:rPr>
          <w:lang w:val="ro-RO"/>
        </w:rPr>
        <w:t>Proiectului (rapoarte de evoluție</w:t>
      </w:r>
      <w:r w:rsidRPr="00A9116C">
        <w:rPr>
          <w:lang w:val="ro-RO"/>
        </w:rPr>
        <w:t>)</w:t>
      </w:r>
      <w:r w:rsidR="00F27364" w:rsidRPr="00A9116C">
        <w:rPr>
          <w:lang w:val="ro-RO"/>
        </w:rPr>
        <w:t>, inclusiv îndeplinirea acordurilor</w:t>
      </w:r>
      <w:r w:rsidRPr="00A9116C">
        <w:rPr>
          <w:lang w:val="ro-RO"/>
        </w:rPr>
        <w:t xml:space="preserve"> prevăzute la articolul 7.4 </w:t>
      </w:r>
      <w:r w:rsidR="00F27364" w:rsidRPr="00A9116C">
        <w:rPr>
          <w:lang w:val="ro-RO"/>
        </w:rPr>
        <w:t xml:space="preserve">lit. </w:t>
      </w:r>
      <w:r w:rsidRPr="00A9116C">
        <w:rPr>
          <w:lang w:val="ro-RO"/>
        </w:rPr>
        <w:t xml:space="preserve">b) din </w:t>
      </w:r>
      <w:r w:rsidR="00F27364" w:rsidRPr="00A9116C">
        <w:rPr>
          <w:lang w:val="ro-RO"/>
        </w:rPr>
        <w:t xml:space="preserve">Contractul </w:t>
      </w:r>
      <w:r w:rsidRPr="00A9116C">
        <w:rPr>
          <w:lang w:val="ro-RO"/>
        </w:rPr>
        <w:t xml:space="preserve">de finanțare și </w:t>
      </w:r>
      <w:r w:rsidR="00F27364" w:rsidRPr="00A9116C">
        <w:rPr>
          <w:lang w:val="ro-RO"/>
        </w:rPr>
        <w:t xml:space="preserve">de proiect </w:t>
      </w:r>
      <w:r w:rsidRPr="00A9116C">
        <w:rPr>
          <w:lang w:val="ro-RO"/>
        </w:rPr>
        <w:t xml:space="preserve">și </w:t>
      </w:r>
      <w:r w:rsidR="00F27364" w:rsidRPr="00A9116C">
        <w:rPr>
          <w:lang w:val="ro-RO"/>
        </w:rPr>
        <w:t xml:space="preserve">în </w:t>
      </w:r>
      <w:r w:rsidRPr="00A9116C">
        <w:rPr>
          <w:lang w:val="ro-RO"/>
        </w:rPr>
        <w:t>acorduri</w:t>
      </w:r>
      <w:r w:rsidR="00F27364" w:rsidRPr="00A9116C">
        <w:rPr>
          <w:lang w:val="ro-RO"/>
        </w:rPr>
        <w:t>le</w:t>
      </w:r>
      <w:r w:rsidRPr="00A9116C">
        <w:rPr>
          <w:lang w:val="ro-RO"/>
        </w:rPr>
        <w:t xml:space="preserve"> de implementare prevăzute în </w:t>
      </w:r>
      <w:r w:rsidR="00F27364" w:rsidRPr="00A9116C">
        <w:rPr>
          <w:lang w:val="ro-RO"/>
        </w:rPr>
        <w:t>secțiunea 2.4. din prezentul A</w:t>
      </w:r>
      <w:r w:rsidRPr="00A9116C">
        <w:rPr>
          <w:lang w:val="ro-RO"/>
        </w:rPr>
        <w:t xml:space="preserve">cord, precum și </w:t>
      </w:r>
      <w:r w:rsidR="006F72B6" w:rsidRPr="00A9116C">
        <w:rPr>
          <w:lang w:val="ro-RO"/>
        </w:rPr>
        <w:t>cu privire la</w:t>
      </w:r>
      <w:r w:rsidRPr="00A9116C">
        <w:rPr>
          <w:lang w:val="ro-RO"/>
        </w:rPr>
        <w:t xml:space="preserve"> </w:t>
      </w:r>
      <w:r w:rsidR="006F72B6" w:rsidRPr="00A9116C">
        <w:rPr>
          <w:lang w:val="ro-RO"/>
        </w:rPr>
        <w:t xml:space="preserve">dezvoltarea tuturor </w:t>
      </w:r>
      <w:r w:rsidRPr="00A9116C">
        <w:rPr>
          <w:lang w:val="ro-RO"/>
        </w:rPr>
        <w:t xml:space="preserve">celorlalte condiții generale importante, inclusiv performanța de mediu și socială, subiecte de sănătate și securitate în muncă și condiții de </w:t>
      </w:r>
      <w:r w:rsidRPr="00A9116C">
        <w:rPr>
          <w:lang w:val="ro-RO"/>
        </w:rPr>
        <w:lastRenderedPageBreak/>
        <w:t xml:space="preserve">muncă, relații comunitare și nemulțumiri care s-au putut produce. Cerințele de raportare </w:t>
      </w:r>
      <w:r w:rsidR="000D7F9D" w:rsidRPr="00A9116C">
        <w:rPr>
          <w:lang w:val="ro-RO"/>
        </w:rPr>
        <w:t>sunt definite în continuare în A</w:t>
      </w:r>
      <w:r w:rsidRPr="00A9116C">
        <w:rPr>
          <w:lang w:val="ro-RO"/>
        </w:rPr>
        <w:t>nexa 7.</w:t>
      </w:r>
    </w:p>
    <w:p w:rsidR="00625C46" w:rsidRPr="00A9116C" w:rsidRDefault="000D7F9D" w:rsidP="00625C46">
      <w:pPr>
        <w:pStyle w:val="berschrift4c"/>
        <w:rPr>
          <w:lang w:val="ro-RO"/>
        </w:rPr>
      </w:pPr>
      <w:r w:rsidRPr="00A9116C">
        <w:rPr>
          <w:lang w:val="ro-RO"/>
        </w:rPr>
        <w:t>Suplimentar la</w:t>
      </w:r>
      <w:r w:rsidR="00625C46" w:rsidRPr="00A9116C">
        <w:rPr>
          <w:lang w:val="ro-RO"/>
        </w:rPr>
        <w:t xml:space="preserve"> cerințele de la punctul 4.1.1, Agenția de </w:t>
      </w:r>
      <w:r w:rsidRPr="00A9116C">
        <w:rPr>
          <w:lang w:val="ro-RO"/>
        </w:rPr>
        <w:t>Executare a P</w:t>
      </w:r>
      <w:r w:rsidR="00625C46" w:rsidRPr="00A9116C">
        <w:rPr>
          <w:lang w:val="ro-RO"/>
        </w:rPr>
        <w:t>roiectului trebuie să raporteze toate circumstanțele care ar putea pune în pericol rea</w:t>
      </w:r>
      <w:r w:rsidR="00177BE5" w:rsidRPr="00A9116C">
        <w:rPr>
          <w:lang w:val="ro-RO"/>
        </w:rPr>
        <w:t>lizarea obiectivului general, scopului P</w:t>
      </w:r>
      <w:r w:rsidR="00502134" w:rsidRPr="00A9116C">
        <w:rPr>
          <w:lang w:val="ro-RO"/>
        </w:rPr>
        <w:t>roiectului și rezultatelor</w:t>
      </w:r>
      <w:r w:rsidR="00625C46" w:rsidRPr="00A9116C">
        <w:rPr>
          <w:lang w:val="ro-RO"/>
        </w:rPr>
        <w:t>.</w:t>
      </w:r>
    </w:p>
    <w:p w:rsidR="00625C46" w:rsidRPr="00A9116C" w:rsidRDefault="00625C46" w:rsidP="00502134">
      <w:pPr>
        <w:pStyle w:val="Einrckunga"/>
        <w:numPr>
          <w:ilvl w:val="0"/>
          <w:numId w:val="14"/>
        </w:numPr>
        <w:tabs>
          <w:tab w:val="clear" w:pos="1276"/>
        </w:tabs>
        <w:ind w:left="851"/>
        <w:rPr>
          <w:szCs w:val="22"/>
          <w:lang w:val="ro-RO" w:eastAsia="de-DE"/>
        </w:rPr>
      </w:pPr>
      <w:r w:rsidRPr="00A9116C">
        <w:rPr>
          <w:szCs w:val="22"/>
          <w:lang w:val="ro-RO" w:eastAsia="de-DE"/>
        </w:rPr>
        <w:t xml:space="preserve">În ceea ce privește problemele de mediu și sociale, inclusiv probleme de </w:t>
      </w:r>
      <w:r w:rsidR="001835A1" w:rsidRPr="00A9116C">
        <w:rPr>
          <w:szCs w:val="22"/>
          <w:lang w:val="ro-RO" w:eastAsia="de-DE"/>
        </w:rPr>
        <w:t xml:space="preserve">sănătate și </w:t>
      </w:r>
      <w:r w:rsidRPr="00A9116C">
        <w:rPr>
          <w:szCs w:val="22"/>
          <w:lang w:val="ro-RO" w:eastAsia="de-DE"/>
        </w:rPr>
        <w:t xml:space="preserve">securitate în muncă și comunitare, precum și impactul asupra populației învecinate, Agenția de </w:t>
      </w:r>
      <w:r w:rsidR="001835A1" w:rsidRPr="00A9116C">
        <w:rPr>
          <w:szCs w:val="22"/>
          <w:lang w:val="ro-RO" w:eastAsia="de-DE"/>
        </w:rPr>
        <w:t>Executare a P</w:t>
      </w:r>
      <w:r w:rsidRPr="00A9116C">
        <w:rPr>
          <w:szCs w:val="22"/>
          <w:lang w:val="ro-RO" w:eastAsia="de-DE"/>
        </w:rPr>
        <w:t xml:space="preserve">roiectului va notifica KfW prompt </w:t>
      </w:r>
      <w:r w:rsidR="001835A1" w:rsidRPr="00A9116C">
        <w:rPr>
          <w:szCs w:val="22"/>
          <w:lang w:val="ro-RO" w:eastAsia="de-DE"/>
        </w:rPr>
        <w:t xml:space="preserve">despre </w:t>
      </w:r>
      <w:r w:rsidRPr="00A9116C">
        <w:rPr>
          <w:szCs w:val="22"/>
          <w:lang w:val="ro-RO" w:eastAsia="de-DE"/>
        </w:rPr>
        <w:t>orice eveniment, incident sau accident în le</w:t>
      </w:r>
      <w:r w:rsidR="001835A1" w:rsidRPr="00A9116C">
        <w:rPr>
          <w:szCs w:val="22"/>
          <w:lang w:val="ro-RO" w:eastAsia="de-DE"/>
        </w:rPr>
        <w:t>gătură cu execuția Proiectului</w:t>
      </w:r>
      <w:r w:rsidR="00263E5F" w:rsidRPr="00A9116C">
        <w:rPr>
          <w:szCs w:val="22"/>
          <w:lang w:val="ro-RO" w:eastAsia="de-DE"/>
        </w:rPr>
        <w:t>,</w:t>
      </w:r>
      <w:r w:rsidR="001835A1" w:rsidRPr="00A9116C">
        <w:rPr>
          <w:szCs w:val="22"/>
          <w:lang w:val="ro-RO" w:eastAsia="de-DE"/>
        </w:rPr>
        <w:t xml:space="preserve"> </w:t>
      </w:r>
      <w:r w:rsidR="00263E5F" w:rsidRPr="00A9116C">
        <w:rPr>
          <w:szCs w:val="22"/>
          <w:lang w:val="ro-RO" w:eastAsia="de-DE"/>
        </w:rPr>
        <w:t>referitor la:</w:t>
      </w:r>
      <w:r w:rsidRPr="00A9116C">
        <w:rPr>
          <w:szCs w:val="22"/>
          <w:lang w:val="ro-RO" w:eastAsia="de-DE"/>
        </w:rPr>
        <w:t xml:space="preserve"> </w:t>
      </w:r>
    </w:p>
    <w:p w:rsidR="00625C46" w:rsidRPr="00A9116C" w:rsidRDefault="008B5187" w:rsidP="00625C46">
      <w:pPr>
        <w:pStyle w:val="Einrckungi"/>
        <w:tabs>
          <w:tab w:val="clear" w:pos="1843"/>
        </w:tabs>
        <w:rPr>
          <w:szCs w:val="22"/>
          <w:lang w:val="ro-RO" w:eastAsia="de-DE"/>
        </w:rPr>
      </w:pPr>
      <w:r w:rsidRPr="00A9116C">
        <w:rPr>
          <w:szCs w:val="22"/>
          <w:lang w:val="ro-RO" w:eastAsia="de-DE"/>
        </w:rPr>
        <w:t>orice incident</w:t>
      </w:r>
    </w:p>
    <w:p w:rsidR="00625C46" w:rsidRPr="00A9116C" w:rsidRDefault="008B5187" w:rsidP="00625C46">
      <w:pPr>
        <w:pStyle w:val="Einrckungzui"/>
        <w:numPr>
          <w:ilvl w:val="0"/>
          <w:numId w:val="15"/>
        </w:numPr>
        <w:spacing w:after="0"/>
        <w:ind w:left="1843" w:hanging="425"/>
        <w:rPr>
          <w:lang w:val="ro-RO" w:eastAsia="de-DE"/>
        </w:rPr>
      </w:pPr>
      <w:r w:rsidRPr="00A9116C">
        <w:rPr>
          <w:szCs w:val="22"/>
          <w:lang w:val="ro-RO" w:eastAsia="de-DE"/>
        </w:rPr>
        <w:t>de natură ecologică</w:t>
      </w:r>
      <w:r w:rsidR="00625C46" w:rsidRPr="00A9116C">
        <w:rPr>
          <w:szCs w:val="22"/>
          <w:lang w:val="ro-RO" w:eastAsia="de-DE"/>
        </w:rPr>
        <w:t xml:space="preserve">; </w:t>
      </w:r>
    </w:p>
    <w:p w:rsidR="00625C46" w:rsidRPr="00A9116C" w:rsidRDefault="00F37388" w:rsidP="00625C46">
      <w:pPr>
        <w:pStyle w:val="Einrckungzui"/>
        <w:numPr>
          <w:ilvl w:val="0"/>
          <w:numId w:val="15"/>
        </w:numPr>
        <w:spacing w:after="0"/>
        <w:ind w:left="1843" w:hanging="425"/>
        <w:rPr>
          <w:lang w:val="ro-RO" w:eastAsia="de-DE"/>
        </w:rPr>
      </w:pPr>
      <w:r w:rsidRPr="00A9116C">
        <w:rPr>
          <w:szCs w:val="22"/>
          <w:lang w:val="ro-RO" w:eastAsia="de-DE"/>
        </w:rPr>
        <w:t>în legătură cu sănătatea</w:t>
      </w:r>
      <w:r w:rsidR="008B5187" w:rsidRPr="00A9116C">
        <w:rPr>
          <w:szCs w:val="22"/>
          <w:lang w:val="ro-RO" w:eastAsia="de-DE"/>
        </w:rPr>
        <w:t xml:space="preserve"> și securitate</w:t>
      </w:r>
      <w:r w:rsidRPr="00A9116C">
        <w:rPr>
          <w:szCs w:val="22"/>
          <w:lang w:val="ro-RO" w:eastAsia="de-DE"/>
        </w:rPr>
        <w:t>a</w:t>
      </w:r>
      <w:r w:rsidR="008B5187" w:rsidRPr="00A9116C">
        <w:rPr>
          <w:szCs w:val="22"/>
          <w:lang w:val="ro-RO" w:eastAsia="de-DE"/>
        </w:rPr>
        <w:t xml:space="preserve"> în muncă</w:t>
      </w:r>
      <w:r w:rsidR="00625C46" w:rsidRPr="00A9116C">
        <w:rPr>
          <w:szCs w:val="22"/>
          <w:lang w:val="ro-RO" w:eastAsia="de-DE"/>
        </w:rPr>
        <w:t xml:space="preserve">; </w:t>
      </w:r>
    </w:p>
    <w:p w:rsidR="00625C46" w:rsidRPr="00A9116C" w:rsidRDefault="00F37388" w:rsidP="00625C46">
      <w:pPr>
        <w:pStyle w:val="Einrckungzui"/>
        <w:numPr>
          <w:ilvl w:val="0"/>
          <w:numId w:val="15"/>
        </w:numPr>
        <w:spacing w:after="0"/>
        <w:ind w:left="1843" w:hanging="425"/>
        <w:rPr>
          <w:lang w:val="ro-RO" w:eastAsia="de-DE"/>
        </w:rPr>
      </w:pPr>
      <w:r w:rsidRPr="00A9116C">
        <w:rPr>
          <w:szCs w:val="22"/>
          <w:lang w:val="ro-RO" w:eastAsia="de-DE"/>
        </w:rPr>
        <w:t xml:space="preserve">în legătură cu sănătatea și siguranța </w:t>
      </w:r>
      <w:r w:rsidR="00700E9F" w:rsidRPr="00A9116C">
        <w:rPr>
          <w:szCs w:val="22"/>
          <w:lang w:val="ro-RO" w:eastAsia="de-DE"/>
        </w:rPr>
        <w:t>publică.</w:t>
      </w:r>
    </w:p>
    <w:p w:rsidR="00625C46" w:rsidRPr="00A9116C" w:rsidRDefault="00625C46" w:rsidP="00625C46">
      <w:pPr>
        <w:pStyle w:val="Einrckungzui"/>
        <w:ind w:left="1418"/>
        <w:rPr>
          <w:lang w:val="ro-RO" w:eastAsia="de-DE"/>
        </w:rPr>
      </w:pPr>
      <w:r w:rsidRPr="00A9116C">
        <w:rPr>
          <w:rStyle w:val="tlid-translation"/>
          <w:lang w:val="ro-RO"/>
        </w:rPr>
        <w:t xml:space="preserve">(în special, dar fără a se limita la orice explozie, deversare sau accident </w:t>
      </w:r>
      <w:r w:rsidR="00D26271" w:rsidRPr="00A9116C">
        <w:rPr>
          <w:rStyle w:val="tlid-translation"/>
          <w:lang w:val="ro-RO"/>
        </w:rPr>
        <w:t xml:space="preserve">la locul </w:t>
      </w:r>
      <w:r w:rsidRPr="00A9116C">
        <w:rPr>
          <w:rStyle w:val="tlid-translation"/>
          <w:lang w:val="ro-RO"/>
        </w:rPr>
        <w:t xml:space="preserve">de muncă care duce la deces, răni grave sau multiple sau contaminare </w:t>
      </w:r>
      <w:r w:rsidR="00D26271" w:rsidRPr="00A9116C">
        <w:rPr>
          <w:rStyle w:val="tlid-translation"/>
          <w:lang w:val="ro-RO"/>
        </w:rPr>
        <w:t>semnificativă</w:t>
      </w:r>
      <w:r w:rsidRPr="00A9116C">
        <w:rPr>
          <w:rStyle w:val="tlid-translation"/>
          <w:lang w:val="ro-RO"/>
        </w:rPr>
        <w:t xml:space="preserve"> a mediului, accidente ale membrilor comunităților publice / locale, soldate cu decesul sau răni grave sau multiple, hărțuire </w:t>
      </w:r>
      <w:r w:rsidR="00D26271" w:rsidRPr="00A9116C">
        <w:rPr>
          <w:rStyle w:val="tlid-translation"/>
          <w:lang w:val="ro-RO"/>
        </w:rPr>
        <w:t xml:space="preserve">sexuală </w:t>
      </w:r>
      <w:r w:rsidRPr="00A9116C">
        <w:rPr>
          <w:rStyle w:val="tlid-translation"/>
          <w:lang w:val="ro-RO"/>
        </w:rPr>
        <w:t xml:space="preserve">și violență care implică </w:t>
      </w:r>
      <w:r w:rsidR="00FA18FF" w:rsidRPr="00A9116C">
        <w:rPr>
          <w:rStyle w:val="tlid-translation"/>
          <w:lang w:val="ro-RO"/>
        </w:rPr>
        <w:t>angajați ai P</w:t>
      </w:r>
      <w:r w:rsidRPr="00A9116C">
        <w:rPr>
          <w:rStyle w:val="tlid-translation"/>
          <w:lang w:val="ro-RO"/>
        </w:rPr>
        <w:t>roiect</w:t>
      </w:r>
      <w:r w:rsidR="00FA18FF" w:rsidRPr="00A9116C">
        <w:rPr>
          <w:rStyle w:val="tlid-translation"/>
          <w:lang w:val="ro-RO"/>
        </w:rPr>
        <w:t>ului</w:t>
      </w:r>
      <w:r w:rsidRPr="00A9116C">
        <w:rPr>
          <w:rStyle w:val="tlid-translation"/>
          <w:lang w:val="ro-RO"/>
        </w:rPr>
        <w:t>);</w:t>
      </w:r>
    </w:p>
    <w:p w:rsidR="00FA18FF" w:rsidRPr="00A9116C" w:rsidRDefault="00625C46" w:rsidP="00625C46">
      <w:pPr>
        <w:pStyle w:val="Einrckungi"/>
        <w:rPr>
          <w:szCs w:val="22"/>
          <w:lang w:val="ro-RO" w:eastAsia="de-DE"/>
        </w:rPr>
      </w:pPr>
      <w:r w:rsidRPr="00A9116C">
        <w:rPr>
          <w:lang w:val="ro-RO" w:eastAsia="de-DE"/>
        </w:rPr>
        <w:t>orice incident de natură socială (inclusiv fără limitare orice tulburare violentă de muncă sau dispută cu comunitățile locale);</w:t>
      </w:r>
    </w:p>
    <w:p w:rsidR="00625C46" w:rsidRPr="00A9116C" w:rsidRDefault="00625C46" w:rsidP="00625C46">
      <w:pPr>
        <w:pStyle w:val="Einrckungi"/>
        <w:rPr>
          <w:szCs w:val="22"/>
          <w:lang w:val="ro-RO" w:eastAsia="de-DE"/>
        </w:rPr>
      </w:pPr>
      <w:r w:rsidRPr="00A9116C">
        <w:rPr>
          <w:lang w:val="ro-RO" w:eastAsia="de-DE"/>
        </w:rPr>
        <w:t xml:space="preserve">orice alt incident de natură ecologică sau socială care are loc pe sau în apropiere de orice </w:t>
      </w:r>
      <w:r w:rsidR="001A1420" w:rsidRPr="00A9116C">
        <w:rPr>
          <w:lang w:val="ro-RO" w:eastAsia="de-DE"/>
        </w:rPr>
        <w:t>șantier</w:t>
      </w:r>
      <w:r w:rsidRPr="00A9116C">
        <w:rPr>
          <w:lang w:val="ro-RO" w:eastAsia="de-DE"/>
        </w:rPr>
        <w:t xml:space="preserve">, instalație, echipament sau </w:t>
      </w:r>
      <w:r w:rsidR="001A1420" w:rsidRPr="00A9116C">
        <w:rPr>
          <w:lang w:val="ro-RO" w:eastAsia="de-DE"/>
        </w:rPr>
        <w:t>facilitate a Agenției de Executare a P</w:t>
      </w:r>
      <w:r w:rsidRPr="00A9116C">
        <w:rPr>
          <w:lang w:val="ro-RO" w:eastAsia="de-DE"/>
        </w:rPr>
        <w:t xml:space="preserve">roiectului (incidentele menționate la punctele (i) - (iii), </w:t>
      </w:r>
      <w:r w:rsidR="001A1420" w:rsidRPr="00A9116C">
        <w:rPr>
          <w:lang w:val="ro-RO" w:eastAsia="de-DE"/>
        </w:rPr>
        <w:t xml:space="preserve">denumite </w:t>
      </w:r>
      <w:r w:rsidRPr="00A9116C">
        <w:rPr>
          <w:lang w:val="ro-RO" w:eastAsia="de-DE"/>
        </w:rPr>
        <w:t xml:space="preserve">în </w:t>
      </w:r>
      <w:r w:rsidR="001A1420" w:rsidRPr="00A9116C">
        <w:rPr>
          <w:lang w:val="ro-RO" w:eastAsia="de-DE"/>
        </w:rPr>
        <w:t>continuare</w:t>
      </w:r>
      <w:r w:rsidRPr="00A9116C">
        <w:rPr>
          <w:lang w:val="ro-RO" w:eastAsia="de-DE"/>
        </w:rPr>
        <w:t xml:space="preserve"> „Incidente”)</w:t>
      </w:r>
    </w:p>
    <w:p w:rsidR="00625C46" w:rsidRPr="00A9116C" w:rsidRDefault="00B4383C" w:rsidP="00625C46">
      <w:pPr>
        <w:ind w:left="851"/>
        <w:rPr>
          <w:lang w:val="ro-RO" w:eastAsia="de-DE"/>
        </w:rPr>
      </w:pPr>
      <w:r w:rsidRPr="00A9116C">
        <w:rPr>
          <w:lang w:val="ro-RO" w:eastAsia="de-DE"/>
        </w:rPr>
        <w:t>care</w:t>
      </w:r>
    </w:p>
    <w:p w:rsidR="00B4383C" w:rsidRPr="00A9116C" w:rsidRDefault="00B4383C" w:rsidP="00B4383C">
      <w:pPr>
        <w:pStyle w:val="aff5"/>
        <w:numPr>
          <w:ilvl w:val="0"/>
          <w:numId w:val="16"/>
        </w:numPr>
        <w:spacing w:after="0"/>
        <w:ind w:hanging="720"/>
        <w:contextualSpacing w:val="0"/>
        <w:rPr>
          <w:lang w:val="ro-RO" w:eastAsia="de-DE"/>
        </w:rPr>
      </w:pPr>
      <w:r w:rsidRPr="00A9116C">
        <w:rPr>
          <w:lang w:val="ro-RO" w:eastAsia="de-DE"/>
        </w:rPr>
        <w:t>a</w:t>
      </w:r>
      <w:r w:rsidR="0036266C">
        <w:rPr>
          <w:lang w:val="ro-RO" w:eastAsia="de-DE"/>
        </w:rPr>
        <w:t>u</w:t>
      </w:r>
      <w:r w:rsidRPr="00A9116C">
        <w:rPr>
          <w:lang w:val="ro-RO" w:eastAsia="de-DE"/>
        </w:rPr>
        <w:t xml:space="preserve"> sau ar putea avea un efect negativ semnificativ; sau</w:t>
      </w:r>
    </w:p>
    <w:p w:rsidR="00B4383C" w:rsidRPr="00A9116C" w:rsidRDefault="00B4383C" w:rsidP="00B4383C">
      <w:pPr>
        <w:pStyle w:val="aff5"/>
        <w:numPr>
          <w:ilvl w:val="0"/>
          <w:numId w:val="16"/>
        </w:numPr>
        <w:spacing w:after="0"/>
        <w:ind w:hanging="720"/>
        <w:contextualSpacing w:val="0"/>
        <w:rPr>
          <w:lang w:val="ro-RO" w:eastAsia="de-DE"/>
        </w:rPr>
      </w:pPr>
      <w:r w:rsidRPr="00A9116C">
        <w:rPr>
          <w:lang w:val="ro-RO" w:eastAsia="de-DE"/>
        </w:rPr>
        <w:t xml:space="preserve">a atras sau este probabil să trezească o atenție negativă substanțială a părților din afara sau să creeze rapoarte media / </w:t>
      </w:r>
      <w:r w:rsidR="00AD3438" w:rsidRPr="00A9116C">
        <w:rPr>
          <w:lang w:val="ro-RO" w:eastAsia="de-DE"/>
        </w:rPr>
        <w:t xml:space="preserve">de </w:t>
      </w:r>
      <w:r w:rsidRPr="00A9116C">
        <w:rPr>
          <w:lang w:val="ro-RO" w:eastAsia="de-DE"/>
        </w:rPr>
        <w:t>pres</w:t>
      </w:r>
      <w:r w:rsidR="00AD3438" w:rsidRPr="00A9116C">
        <w:rPr>
          <w:lang w:val="ro-RO" w:eastAsia="de-DE"/>
        </w:rPr>
        <w:t>ă</w:t>
      </w:r>
      <w:r w:rsidRPr="00A9116C">
        <w:rPr>
          <w:lang w:val="ro-RO" w:eastAsia="de-DE"/>
        </w:rPr>
        <w:t xml:space="preserve"> </w:t>
      </w:r>
      <w:r w:rsidR="00AD3438" w:rsidRPr="00A9116C">
        <w:rPr>
          <w:lang w:val="ro-RO" w:eastAsia="de-DE"/>
        </w:rPr>
        <w:t>adverse semnificative</w:t>
      </w:r>
      <w:r w:rsidRPr="00A9116C">
        <w:rPr>
          <w:lang w:val="ro-RO" w:eastAsia="de-DE"/>
        </w:rPr>
        <w:t>; sau</w:t>
      </w:r>
    </w:p>
    <w:p w:rsidR="00B4383C" w:rsidRPr="00A9116C" w:rsidRDefault="00B4383C" w:rsidP="00B4383C">
      <w:pPr>
        <w:pStyle w:val="aff5"/>
        <w:numPr>
          <w:ilvl w:val="0"/>
          <w:numId w:val="16"/>
        </w:numPr>
        <w:spacing w:after="0"/>
        <w:ind w:hanging="720"/>
        <w:contextualSpacing w:val="0"/>
        <w:rPr>
          <w:lang w:val="ro-RO" w:eastAsia="de-DE"/>
        </w:rPr>
      </w:pPr>
      <w:r w:rsidRPr="00A9116C">
        <w:rPr>
          <w:lang w:val="ro-RO" w:eastAsia="de-DE"/>
        </w:rPr>
        <w:t>dă sau este posibil să dea naștere la datorii potențiale</w:t>
      </w:r>
      <w:r w:rsidR="00AD3438" w:rsidRPr="00A9116C">
        <w:rPr>
          <w:lang w:val="ro-RO" w:eastAsia="de-DE"/>
        </w:rPr>
        <w:t xml:space="preserve"> semnificative</w:t>
      </w:r>
      <w:r w:rsidRPr="00A9116C">
        <w:rPr>
          <w:lang w:val="ro-RO" w:eastAsia="de-DE"/>
        </w:rPr>
        <w:t>.</w:t>
      </w:r>
    </w:p>
    <w:p w:rsidR="00625C46" w:rsidRPr="00A9116C" w:rsidRDefault="00625C46" w:rsidP="00625C46">
      <w:pPr>
        <w:pStyle w:val="Einrckunga"/>
        <w:numPr>
          <w:ilvl w:val="0"/>
          <w:numId w:val="4"/>
        </w:numPr>
        <w:ind w:left="851" w:hanging="851"/>
        <w:rPr>
          <w:lang w:val="ro-RO" w:eastAsia="de-DE"/>
        </w:rPr>
      </w:pPr>
      <w:r w:rsidRPr="00A9116C">
        <w:rPr>
          <w:szCs w:val="22"/>
          <w:lang w:val="ro-RO" w:eastAsia="de-DE"/>
        </w:rPr>
        <w:t xml:space="preserve">Notificarea va cuprinde, în fiecare caz, (i) o specificare a naturii incidentelor și a efectelor </w:t>
      </w:r>
      <w:r w:rsidR="008969C9" w:rsidRPr="00A9116C">
        <w:rPr>
          <w:szCs w:val="22"/>
          <w:lang w:val="ro-RO" w:eastAsia="de-DE"/>
        </w:rPr>
        <w:t xml:space="preserve">acestora </w:t>
      </w:r>
      <w:r w:rsidRPr="00A9116C">
        <w:rPr>
          <w:szCs w:val="22"/>
          <w:lang w:val="ro-RO" w:eastAsia="de-DE"/>
        </w:rPr>
        <w:t xml:space="preserve">la </w:t>
      </w:r>
      <w:r w:rsidR="008969C9" w:rsidRPr="00A9116C">
        <w:rPr>
          <w:szCs w:val="22"/>
          <w:lang w:val="ro-RO" w:eastAsia="de-DE"/>
        </w:rPr>
        <w:t>locul</w:t>
      </w:r>
      <w:r w:rsidRPr="00A9116C">
        <w:rPr>
          <w:szCs w:val="22"/>
          <w:lang w:val="ro-RO" w:eastAsia="de-DE"/>
        </w:rPr>
        <w:t xml:space="preserve"> și în afara locului </w:t>
      </w:r>
      <w:r w:rsidR="0019543C" w:rsidRPr="00A9116C">
        <w:rPr>
          <w:szCs w:val="22"/>
          <w:lang w:val="ro-RO" w:eastAsia="de-DE"/>
        </w:rPr>
        <w:t xml:space="preserve">producerii </w:t>
      </w:r>
      <w:r w:rsidRPr="00A9116C">
        <w:rPr>
          <w:szCs w:val="22"/>
          <w:lang w:val="ro-RO" w:eastAsia="de-DE"/>
        </w:rPr>
        <w:t xml:space="preserve">acestor incidente și (ii) detalii despre orice acțiune pe care Agenția de Executare a Proiectului își propune să o </w:t>
      </w:r>
      <w:r w:rsidRPr="00A9116C">
        <w:rPr>
          <w:szCs w:val="22"/>
          <w:lang w:val="ro-RO" w:eastAsia="de-DE"/>
        </w:rPr>
        <w:lastRenderedPageBreak/>
        <w:t xml:space="preserve">întreprindă pentru a remedia efectele acestor incidente. Agenția de </w:t>
      </w:r>
      <w:r w:rsidR="00480DE5" w:rsidRPr="00A9116C">
        <w:rPr>
          <w:szCs w:val="22"/>
          <w:lang w:val="ro-RO" w:eastAsia="de-DE"/>
        </w:rPr>
        <w:t xml:space="preserve">Executare a Proiectului informează </w:t>
      </w:r>
      <w:r w:rsidRPr="00A9116C">
        <w:rPr>
          <w:szCs w:val="22"/>
          <w:lang w:val="ro-RO" w:eastAsia="de-DE"/>
        </w:rPr>
        <w:t xml:space="preserve">KfW despre orice progres </w:t>
      </w:r>
      <w:r w:rsidR="007C1579" w:rsidRPr="00A9116C">
        <w:rPr>
          <w:szCs w:val="22"/>
          <w:lang w:val="ro-RO" w:eastAsia="de-DE"/>
        </w:rPr>
        <w:t>privind</w:t>
      </w:r>
      <w:r w:rsidRPr="00A9116C">
        <w:rPr>
          <w:szCs w:val="22"/>
          <w:lang w:val="ro-RO" w:eastAsia="de-DE"/>
        </w:rPr>
        <w:t xml:space="preserve"> acțiunile de remediere.</w:t>
      </w:r>
    </w:p>
    <w:p w:rsidR="007C1579" w:rsidRPr="00A9116C" w:rsidRDefault="00625C46" w:rsidP="00625C46">
      <w:pPr>
        <w:pStyle w:val="berschrift4c"/>
        <w:keepNext w:val="0"/>
        <w:rPr>
          <w:lang w:val="ro-RO"/>
        </w:rPr>
      </w:pPr>
      <w:r w:rsidRPr="00A9116C">
        <w:rPr>
          <w:lang w:val="ro-RO"/>
        </w:rPr>
        <w:t xml:space="preserve">La momentul finalizării fizice și al punerii în funcțiune a Proiectului, dar </w:t>
      </w:r>
      <w:r w:rsidR="007C1579" w:rsidRPr="00A9116C">
        <w:rPr>
          <w:lang w:val="ro-RO"/>
        </w:rPr>
        <w:t xml:space="preserve">cel târziu </w:t>
      </w:r>
      <w:r w:rsidRPr="00A9116C">
        <w:rPr>
          <w:lang w:val="ro-RO"/>
        </w:rPr>
        <w:t xml:space="preserve">înainte de expirarea perioadei de garanție, Agenția de </w:t>
      </w:r>
      <w:r w:rsidR="007C1579" w:rsidRPr="00A9116C">
        <w:rPr>
          <w:lang w:val="ro-RO"/>
        </w:rPr>
        <w:t>Executare a P</w:t>
      </w:r>
      <w:r w:rsidRPr="00A9116C">
        <w:rPr>
          <w:lang w:val="ro-RO"/>
        </w:rPr>
        <w:t>roiectului prezintă un raport final cu privire la măsurile realizate.</w:t>
      </w:r>
    </w:p>
    <w:p w:rsidR="00625C46" w:rsidRPr="00A9116C" w:rsidRDefault="00625C46" w:rsidP="00625C46">
      <w:pPr>
        <w:pStyle w:val="berschrift4c"/>
        <w:keepNext w:val="0"/>
        <w:rPr>
          <w:lang w:val="ro-RO"/>
        </w:rPr>
      </w:pPr>
      <w:r w:rsidRPr="00A9116C">
        <w:rPr>
          <w:lang w:val="ro-RO"/>
        </w:rPr>
        <w:t>Prim</w:t>
      </w:r>
      <w:r w:rsidR="00E81352" w:rsidRPr="00A9116C">
        <w:rPr>
          <w:lang w:val="ro-RO"/>
        </w:rPr>
        <w:t>ul raport privind situația de facto</w:t>
      </w:r>
      <w:r w:rsidRPr="00A9116C">
        <w:rPr>
          <w:lang w:val="ro-RO"/>
        </w:rPr>
        <w:t xml:space="preserve"> se prezintă la sfârșitul trimestr</w:t>
      </w:r>
      <w:r w:rsidR="00E81352" w:rsidRPr="00A9116C">
        <w:rPr>
          <w:lang w:val="ro-RO"/>
        </w:rPr>
        <w:t>ului după semnarea prezentului Acord S</w:t>
      </w:r>
      <w:r w:rsidRPr="00A9116C">
        <w:rPr>
          <w:lang w:val="ro-RO"/>
        </w:rPr>
        <w:t>eparat. Rapoartele trebuie să fi fost primite de KfW în cel mult patru săptămâni de la sfârșitul perioadei examinate. Ra</w:t>
      </w:r>
      <w:r w:rsidR="007E305C" w:rsidRPr="00A9116C">
        <w:rPr>
          <w:lang w:val="ro-RO"/>
        </w:rPr>
        <w:t xml:space="preserve">poartele trebuie să fie </w:t>
      </w:r>
      <w:r w:rsidR="00D91186" w:rsidRPr="00A9116C">
        <w:rPr>
          <w:lang w:val="ro-RO"/>
        </w:rPr>
        <w:t>contrasemnate</w:t>
      </w:r>
      <w:r w:rsidR="007E305C" w:rsidRPr="00A9116C">
        <w:rPr>
          <w:lang w:val="ro-RO"/>
        </w:rPr>
        <w:t xml:space="preserve"> de Consultantul de I</w:t>
      </w:r>
      <w:r w:rsidRPr="00A9116C">
        <w:rPr>
          <w:lang w:val="ro-RO"/>
        </w:rPr>
        <w:t>mplementare.</w:t>
      </w:r>
    </w:p>
    <w:p w:rsidR="007E305C" w:rsidRPr="00A9116C" w:rsidRDefault="00625C46" w:rsidP="00625C46">
      <w:pPr>
        <w:pStyle w:val="berschrift4c"/>
        <w:rPr>
          <w:lang w:val="ro-RO"/>
        </w:rPr>
      </w:pPr>
      <w:r w:rsidRPr="00A9116C">
        <w:rPr>
          <w:lang w:val="ro-RO"/>
        </w:rPr>
        <w:t xml:space="preserve">În cazul în care Agenția de </w:t>
      </w:r>
      <w:r w:rsidR="007E305C" w:rsidRPr="00A9116C">
        <w:rPr>
          <w:lang w:val="ro-RO"/>
        </w:rPr>
        <w:t>Executare a Proiectului a solicitat Consultantului de I</w:t>
      </w:r>
      <w:r w:rsidRPr="00A9116C">
        <w:rPr>
          <w:lang w:val="ro-RO"/>
        </w:rPr>
        <w:t>mplementar</w:t>
      </w:r>
      <w:r w:rsidR="00D91186" w:rsidRPr="00A9116C">
        <w:rPr>
          <w:lang w:val="ro-RO"/>
        </w:rPr>
        <w:t>e să scrie rapoartele de evoluție</w:t>
      </w:r>
      <w:r w:rsidRPr="00A9116C">
        <w:rPr>
          <w:lang w:val="ro-RO"/>
        </w:rPr>
        <w:t xml:space="preserve"> și / sau raportul final, Agenția de </w:t>
      </w:r>
      <w:r w:rsidR="00D91186" w:rsidRPr="00A9116C">
        <w:rPr>
          <w:lang w:val="ro-RO"/>
        </w:rPr>
        <w:t>Executare a P</w:t>
      </w:r>
      <w:r w:rsidRPr="00A9116C">
        <w:rPr>
          <w:lang w:val="ro-RO"/>
        </w:rPr>
        <w:t>roiectului va comenta rapoartele sau va recunoaște aprobarea conținutului prin contrasemnarea rapoartelor.</w:t>
      </w:r>
    </w:p>
    <w:p w:rsidR="00625C46" w:rsidRPr="00A9116C" w:rsidRDefault="00625C46" w:rsidP="00625C46">
      <w:pPr>
        <w:pStyle w:val="berschrift4c"/>
        <w:rPr>
          <w:lang w:val="ro-RO"/>
        </w:rPr>
      </w:pPr>
      <w:r w:rsidRPr="00A9116C">
        <w:rPr>
          <w:lang w:val="ro-RO"/>
        </w:rPr>
        <w:t xml:space="preserve">După finalizarea proiectului, Agenția de Executare a Proiectului raportează asupra </w:t>
      </w:r>
      <w:r w:rsidR="009A4057" w:rsidRPr="00A9116C">
        <w:rPr>
          <w:lang w:val="ro-RO"/>
        </w:rPr>
        <w:t>evoluției</w:t>
      </w:r>
      <w:r w:rsidRPr="00A9116C">
        <w:rPr>
          <w:lang w:val="ro-RO"/>
        </w:rPr>
        <w:t xml:space="preserve"> ulterioare</w:t>
      </w:r>
      <w:r w:rsidR="009A4057" w:rsidRPr="00A9116C">
        <w:rPr>
          <w:lang w:val="ro-RO"/>
        </w:rPr>
        <w:t xml:space="preserve"> a acestuia</w:t>
      </w:r>
      <w:r w:rsidR="00B44EFB" w:rsidRPr="00A9116C">
        <w:rPr>
          <w:lang w:val="ro-RO"/>
        </w:rPr>
        <w:t xml:space="preserve"> (a se vedea A</w:t>
      </w:r>
      <w:r w:rsidRPr="00A9116C">
        <w:rPr>
          <w:lang w:val="ro-RO"/>
        </w:rPr>
        <w:t>nexa 7 pentru detalii). KfW va informa în timp util Agenția de Executare a Proiectului despre sfârșitul perioadei de raportare.</w:t>
      </w:r>
    </w:p>
    <w:p w:rsidR="00625C46" w:rsidRPr="00A9116C" w:rsidRDefault="00B44EFB" w:rsidP="00625C46">
      <w:pPr>
        <w:pStyle w:val="3"/>
        <w:numPr>
          <w:ilvl w:val="2"/>
          <w:numId w:val="6"/>
        </w:numPr>
        <w:rPr>
          <w:lang w:val="ro-RO"/>
        </w:rPr>
      </w:pPr>
      <w:r w:rsidRPr="00A9116C">
        <w:rPr>
          <w:b/>
          <w:u w:val="single"/>
          <w:lang w:val="ro-RO" w:eastAsia="de-DE"/>
        </w:rPr>
        <w:t>Alte Prevederi</w:t>
      </w:r>
    </w:p>
    <w:p w:rsidR="00E440A1" w:rsidRPr="00A9116C" w:rsidRDefault="00625C46" w:rsidP="00625C46">
      <w:pPr>
        <w:pStyle w:val="berschrift4d"/>
        <w:rPr>
          <w:lang w:val="ro-RO"/>
        </w:rPr>
      </w:pPr>
      <w:r w:rsidRPr="00A9116C">
        <w:rPr>
          <w:lang w:val="ro-RO"/>
        </w:rPr>
        <w:t>A</w:t>
      </w:r>
      <w:r w:rsidR="00B44EFB" w:rsidRPr="00A9116C">
        <w:rPr>
          <w:lang w:val="ro-RO"/>
        </w:rPr>
        <w:t>EP</w:t>
      </w:r>
      <w:r w:rsidRPr="00A9116C">
        <w:rPr>
          <w:lang w:val="ro-RO"/>
        </w:rPr>
        <w:t xml:space="preserve"> se </w:t>
      </w:r>
      <w:r w:rsidR="003A3559" w:rsidRPr="00A9116C">
        <w:rPr>
          <w:lang w:val="ro-RO"/>
        </w:rPr>
        <w:t>angajează</w:t>
      </w:r>
      <w:r w:rsidRPr="00A9116C">
        <w:rPr>
          <w:lang w:val="ro-RO"/>
        </w:rPr>
        <w:t xml:space="preserve"> să respecte în perma</w:t>
      </w:r>
      <w:r w:rsidR="003A3559" w:rsidRPr="00A9116C">
        <w:rPr>
          <w:lang w:val="ro-RO"/>
        </w:rPr>
        <w:t>nență obligațiile prevăzute în A</w:t>
      </w:r>
      <w:r w:rsidRPr="00A9116C">
        <w:rPr>
          <w:lang w:val="ro-RO"/>
        </w:rPr>
        <w:t xml:space="preserve">nexa 1b la </w:t>
      </w:r>
      <w:r w:rsidR="003A3559" w:rsidRPr="00A9116C">
        <w:rPr>
          <w:lang w:val="ro-RO"/>
        </w:rPr>
        <w:t>Contractul</w:t>
      </w:r>
      <w:r w:rsidRPr="00A9116C">
        <w:rPr>
          <w:lang w:val="ro-RO"/>
        </w:rPr>
        <w:t xml:space="preserve"> de finanțare (</w:t>
      </w:r>
      <w:r w:rsidR="003A3559" w:rsidRPr="00A9116C">
        <w:rPr>
          <w:lang w:val="ro-RO"/>
        </w:rPr>
        <w:t xml:space="preserve">Respectarea Prevederilor de către </w:t>
      </w:r>
      <w:r w:rsidRPr="00A9116C">
        <w:rPr>
          <w:lang w:val="ro-RO"/>
        </w:rPr>
        <w:t>Agenția de Executare a Proiect</w:t>
      </w:r>
      <w:r w:rsidR="00251E33" w:rsidRPr="00A9116C">
        <w:rPr>
          <w:lang w:val="ro-RO"/>
        </w:rPr>
        <w:t>ului</w:t>
      </w:r>
      <w:r w:rsidRPr="00A9116C">
        <w:rPr>
          <w:lang w:val="ro-RO"/>
        </w:rPr>
        <w:t>).</w:t>
      </w:r>
    </w:p>
    <w:p w:rsidR="00E440A1" w:rsidRPr="00A9116C" w:rsidRDefault="00625C46" w:rsidP="00625C46">
      <w:pPr>
        <w:pStyle w:val="berschrift4d"/>
        <w:rPr>
          <w:lang w:val="ro-RO"/>
        </w:rPr>
      </w:pPr>
      <w:r w:rsidRPr="00A9116C">
        <w:rPr>
          <w:lang w:val="ro-RO"/>
        </w:rPr>
        <w:t xml:space="preserve">Agenția de </w:t>
      </w:r>
      <w:r w:rsidR="00251E33" w:rsidRPr="00A9116C">
        <w:rPr>
          <w:lang w:val="ro-RO"/>
        </w:rPr>
        <w:t>Executare a P</w:t>
      </w:r>
      <w:r w:rsidRPr="00A9116C">
        <w:rPr>
          <w:lang w:val="ro-RO"/>
        </w:rPr>
        <w:t>roiectului transmite KfW t</w:t>
      </w:r>
      <w:r w:rsidR="00842003" w:rsidRPr="00A9116C">
        <w:rPr>
          <w:lang w:val="ro-RO"/>
        </w:rPr>
        <w:t>oate documentele necesare</w:t>
      </w:r>
      <w:r w:rsidRPr="00A9116C">
        <w:rPr>
          <w:lang w:val="ro-RO"/>
        </w:rPr>
        <w:t xml:space="preserve"> KfW pentru </w:t>
      </w:r>
      <w:r w:rsidR="00842003" w:rsidRPr="00A9116C">
        <w:rPr>
          <w:lang w:val="ro-RO"/>
        </w:rPr>
        <w:t xml:space="preserve">emiterea </w:t>
      </w:r>
      <w:r w:rsidR="00586F08" w:rsidRPr="00A9116C">
        <w:rPr>
          <w:lang w:val="ro-RO"/>
        </w:rPr>
        <w:t>obiecțiilor și aprobărilor</w:t>
      </w:r>
      <w:r w:rsidRPr="00A9116C">
        <w:rPr>
          <w:lang w:val="ro-RO"/>
        </w:rPr>
        <w:t xml:space="preserve"> mențio</w:t>
      </w:r>
      <w:r w:rsidR="00586F08" w:rsidRPr="00A9116C">
        <w:rPr>
          <w:lang w:val="ro-RO"/>
        </w:rPr>
        <w:t>nate mai sus sau în Ghidul privind achiziții anexat</w:t>
      </w:r>
      <w:r w:rsidRPr="00A9116C">
        <w:rPr>
          <w:lang w:val="ro-RO"/>
        </w:rPr>
        <w:t xml:space="preserve"> suficient de devreme pentru a </w:t>
      </w:r>
      <w:r w:rsidR="00F84743" w:rsidRPr="00A9116C">
        <w:rPr>
          <w:lang w:val="ro-RO"/>
        </w:rPr>
        <w:t>oferi</w:t>
      </w:r>
      <w:r w:rsidRPr="00A9116C">
        <w:rPr>
          <w:lang w:val="ro-RO"/>
        </w:rPr>
        <w:t xml:space="preserve"> un timp rezonabil pentru examinare.</w:t>
      </w:r>
    </w:p>
    <w:p w:rsidR="00625C46" w:rsidRPr="00A9116C" w:rsidRDefault="00625C46" w:rsidP="00625C46">
      <w:pPr>
        <w:pStyle w:val="berschrift4d"/>
        <w:rPr>
          <w:lang w:val="ro-RO"/>
        </w:rPr>
      </w:pPr>
      <w:r w:rsidRPr="00A9116C">
        <w:rPr>
          <w:lang w:val="ro-RO"/>
        </w:rPr>
        <w:t xml:space="preserve">Agenția de </w:t>
      </w:r>
      <w:r w:rsidR="00F84743" w:rsidRPr="00A9116C">
        <w:rPr>
          <w:lang w:val="ro-RO"/>
        </w:rPr>
        <w:t>Executare a P</w:t>
      </w:r>
      <w:r w:rsidR="004C6054" w:rsidRPr="00A9116C">
        <w:rPr>
          <w:lang w:val="ro-RO"/>
        </w:rPr>
        <w:t>roiectului afișează</w:t>
      </w:r>
      <w:r w:rsidR="00DD0A67" w:rsidRPr="00A9116C">
        <w:rPr>
          <w:lang w:val="ro-RO"/>
        </w:rPr>
        <w:t xml:space="preserve"> panouri de semnare</w:t>
      </w:r>
      <w:r w:rsidR="00F84743" w:rsidRPr="00A9116C">
        <w:rPr>
          <w:lang w:val="ro-RO"/>
        </w:rPr>
        <w:t xml:space="preserve"> ale P</w:t>
      </w:r>
      <w:r w:rsidRPr="00A9116C">
        <w:rPr>
          <w:lang w:val="ro-RO"/>
        </w:rPr>
        <w:t>roiectului care vor conține cel puțin următorul mesaj:</w:t>
      </w:r>
    </w:p>
    <w:p w:rsidR="00625C46" w:rsidRPr="00A9116C" w:rsidRDefault="00625C46" w:rsidP="00625C46">
      <w:pPr>
        <w:rPr>
          <w:lang w:val="ro-RO"/>
        </w:rPr>
      </w:pPr>
      <w:r w:rsidRPr="00A9116C">
        <w:rPr>
          <w:lang w:val="ro-RO"/>
        </w:rPr>
        <w:t>"</w:t>
      </w:r>
      <w:r w:rsidR="00E440A1" w:rsidRPr="00A9116C">
        <w:rPr>
          <w:lang w:val="ro-RO"/>
        </w:rPr>
        <w:t>P</w:t>
      </w:r>
      <w:r w:rsidRPr="00A9116C">
        <w:rPr>
          <w:lang w:val="ro-RO"/>
        </w:rPr>
        <w:t xml:space="preserve">roiect de dezvoltare </w:t>
      </w:r>
      <w:r w:rsidR="00E97AE7" w:rsidRPr="00A9116C">
        <w:rPr>
          <w:lang w:val="ro-RO"/>
        </w:rPr>
        <w:t xml:space="preserve">al </w:t>
      </w:r>
      <w:r w:rsidRPr="00A9116C">
        <w:rPr>
          <w:lang w:val="ro-RO"/>
        </w:rPr>
        <w:t>/ co</w:t>
      </w:r>
      <w:r w:rsidR="00C104E6" w:rsidRPr="00A9116C">
        <w:rPr>
          <w:lang w:val="ro-RO"/>
        </w:rPr>
        <w:t>-</w:t>
      </w:r>
      <w:r w:rsidRPr="00A9116C">
        <w:rPr>
          <w:lang w:val="ro-RO"/>
        </w:rPr>
        <w:t>finanțat de Republica Federală Germania prin KfW."</w:t>
      </w:r>
    </w:p>
    <w:p w:rsidR="00625C46" w:rsidRPr="00A9116C" w:rsidRDefault="00DD0A67" w:rsidP="00625C46">
      <w:pPr>
        <w:rPr>
          <w:lang w:val="ro-RO"/>
        </w:rPr>
      </w:pPr>
      <w:r w:rsidRPr="00A9116C">
        <w:rPr>
          <w:lang w:val="ro-RO"/>
        </w:rPr>
        <w:t>Sigiliul P</w:t>
      </w:r>
      <w:r w:rsidR="00625C46" w:rsidRPr="00A9116C">
        <w:rPr>
          <w:lang w:val="ro-RO"/>
        </w:rPr>
        <w:t>roiect</w:t>
      </w:r>
      <w:r w:rsidRPr="00A9116C">
        <w:rPr>
          <w:lang w:val="ro-RO"/>
        </w:rPr>
        <w:t>ului,</w:t>
      </w:r>
      <w:r w:rsidR="00625C46" w:rsidRPr="00A9116C">
        <w:rPr>
          <w:lang w:val="ro-RO"/>
        </w:rPr>
        <w:t xml:space="preserve"> furnizat de Ambasada Germaniei este </w:t>
      </w:r>
      <w:r w:rsidRPr="00A9116C">
        <w:rPr>
          <w:lang w:val="ro-RO"/>
        </w:rPr>
        <w:t>plasat pe panoul de semnare al P</w:t>
      </w:r>
      <w:r w:rsidR="00625C46" w:rsidRPr="00A9116C">
        <w:rPr>
          <w:lang w:val="ro-RO"/>
        </w:rPr>
        <w:t>roiectului.</w:t>
      </w:r>
    </w:p>
    <w:p w:rsidR="00625C46" w:rsidRPr="00A9116C" w:rsidRDefault="00030B87" w:rsidP="00625C46">
      <w:pPr>
        <w:pStyle w:val="berschrift4d"/>
        <w:rPr>
          <w:lang w:val="ro-RO"/>
        </w:rPr>
      </w:pPr>
      <w:r w:rsidRPr="00A9116C">
        <w:rPr>
          <w:rFonts w:cs="Arial"/>
          <w:lang w:val="ro-RO"/>
        </w:rPr>
        <w:t>Prevederile</w:t>
      </w:r>
      <w:r w:rsidR="00625C46" w:rsidRPr="00A9116C">
        <w:rPr>
          <w:rFonts w:cs="Arial"/>
          <w:lang w:val="ro-RO"/>
        </w:rPr>
        <w:t xml:space="preserve"> de mai sus </w:t>
      </w:r>
      <w:r w:rsidRPr="00A9116C">
        <w:rPr>
          <w:rFonts w:cs="Arial"/>
          <w:lang w:val="ro-RO"/>
        </w:rPr>
        <w:t>pot fi modificate sau completate în orice moment prin acord</w:t>
      </w:r>
      <w:r w:rsidR="00625C46" w:rsidRPr="00A9116C">
        <w:rPr>
          <w:rFonts w:cs="Arial"/>
          <w:lang w:val="ro-RO"/>
        </w:rPr>
        <w:t xml:space="preserve"> reciproc, dacă acest lucru ar părea util pentru implementarea Proiectului</w:t>
      </w:r>
      <w:r w:rsidR="003B7F71" w:rsidRPr="00A9116C">
        <w:rPr>
          <w:rFonts w:cs="Arial"/>
          <w:lang w:val="ro-RO"/>
        </w:rPr>
        <w:t xml:space="preserve"> sau pentru executarea Contractului</w:t>
      </w:r>
      <w:r w:rsidR="00625C46" w:rsidRPr="00A9116C">
        <w:rPr>
          <w:rFonts w:cs="Arial"/>
          <w:lang w:val="ro-RO"/>
        </w:rPr>
        <w:t xml:space="preserve"> de Finanțare și Proiect. În toate celelalte aspecte, dispozițiile </w:t>
      </w:r>
      <w:r w:rsidR="00625C46" w:rsidRPr="00A9116C">
        <w:rPr>
          <w:rFonts w:cs="Arial"/>
          <w:lang w:val="ro-RO"/>
        </w:rPr>
        <w:lastRenderedPageBreak/>
        <w:t xml:space="preserve">articolelor 6.2 8 și 9 din Acordul de </w:t>
      </w:r>
      <w:r w:rsidR="001B0460" w:rsidRPr="00A9116C">
        <w:rPr>
          <w:rFonts w:cs="Arial"/>
          <w:lang w:val="ro-RO"/>
        </w:rPr>
        <w:t>Finanțare și P</w:t>
      </w:r>
      <w:r w:rsidR="00625C46" w:rsidRPr="00A9116C">
        <w:rPr>
          <w:rFonts w:cs="Arial"/>
          <w:lang w:val="ro-RO"/>
        </w:rPr>
        <w:t>roiect se aplică în mod corespu</w:t>
      </w:r>
      <w:r w:rsidR="001B0460" w:rsidRPr="00A9116C">
        <w:rPr>
          <w:rFonts w:cs="Arial"/>
          <w:lang w:val="ro-RO"/>
        </w:rPr>
        <w:t>nzător prezentului A</w:t>
      </w:r>
      <w:r w:rsidR="00625C46" w:rsidRPr="00A9116C">
        <w:rPr>
          <w:rFonts w:cs="Arial"/>
          <w:lang w:val="ro-RO"/>
        </w:rPr>
        <w:t>cord.</w:t>
      </w:r>
    </w:p>
    <w:p w:rsidR="00625C46" w:rsidRPr="00A9116C" w:rsidRDefault="00625C46" w:rsidP="00625C46">
      <w:pPr>
        <w:rPr>
          <w:rFonts w:cs="Arial"/>
          <w:szCs w:val="22"/>
          <w:lang w:val="ro-RO"/>
        </w:rPr>
      </w:pPr>
      <w:r w:rsidRPr="00A9116C">
        <w:rPr>
          <w:rFonts w:cs="Arial"/>
          <w:szCs w:val="22"/>
          <w:lang w:val="ro-RO"/>
        </w:rPr>
        <w:t xml:space="preserve">Vă rugăm să confirmați consimțământul dvs. la Acordul de mai sus, </w:t>
      </w:r>
      <w:r w:rsidR="001B0460" w:rsidRPr="00A9116C">
        <w:rPr>
          <w:rFonts w:cs="Arial"/>
          <w:szCs w:val="22"/>
          <w:lang w:val="ro-RO"/>
        </w:rPr>
        <w:t>prin semnarea</w:t>
      </w:r>
      <w:r w:rsidRPr="00A9116C">
        <w:rPr>
          <w:rFonts w:cs="Arial"/>
          <w:szCs w:val="22"/>
          <w:lang w:val="ro-RO"/>
        </w:rPr>
        <w:t xml:space="preserve"> formular</w:t>
      </w:r>
      <w:r w:rsidR="0070270D" w:rsidRPr="00A9116C">
        <w:rPr>
          <w:rFonts w:cs="Arial"/>
          <w:szCs w:val="22"/>
          <w:lang w:val="ro-RO"/>
        </w:rPr>
        <w:t>ului</w:t>
      </w:r>
      <w:r w:rsidRPr="00A9116C">
        <w:rPr>
          <w:rFonts w:cs="Arial"/>
          <w:szCs w:val="22"/>
          <w:lang w:val="ro-RO"/>
        </w:rPr>
        <w:t xml:space="preserve"> obligatoriu și </w:t>
      </w:r>
      <w:r w:rsidR="0070270D" w:rsidRPr="00A9116C">
        <w:rPr>
          <w:rFonts w:cs="Arial"/>
          <w:szCs w:val="22"/>
          <w:lang w:val="ro-RO"/>
        </w:rPr>
        <w:t>returnarea copiilor</w:t>
      </w:r>
      <w:r w:rsidRPr="00A9116C">
        <w:rPr>
          <w:rFonts w:cs="Arial"/>
          <w:szCs w:val="22"/>
          <w:lang w:val="ro-RO"/>
        </w:rPr>
        <w:t xml:space="preserve"> anexate.</w:t>
      </w:r>
    </w:p>
    <w:p w:rsidR="00625C46" w:rsidRPr="00A9116C" w:rsidRDefault="0070270D" w:rsidP="00625C46">
      <w:pPr>
        <w:rPr>
          <w:lang w:val="ro-RO"/>
        </w:rPr>
      </w:pPr>
      <w:r w:rsidRPr="00A9116C">
        <w:rPr>
          <w:lang w:val="ro-RO"/>
        </w:rPr>
        <w:t>Atașăm</w:t>
      </w:r>
      <w:r w:rsidR="00625C46" w:rsidRPr="00A9116C">
        <w:rPr>
          <w:lang w:val="ro-RO"/>
        </w:rPr>
        <w:t xml:space="preserve"> o copie a prezentei scrisori cu solicitarea de a o transmite în timp util către Apa Canal Chișinău și municipalitățile Strășeni și Călărași.</w:t>
      </w:r>
    </w:p>
    <w:p w:rsidR="00625C46" w:rsidRPr="00A9116C" w:rsidRDefault="00625C46" w:rsidP="00625C46">
      <w:pPr>
        <w:rPr>
          <w:lang w:val="ro-RO"/>
        </w:rPr>
      </w:pPr>
      <w:r w:rsidRPr="00A9116C">
        <w:rPr>
          <w:lang w:val="ro-RO"/>
        </w:rPr>
        <w:t>Vă rugăm să trimiteți o copie a p</w:t>
      </w:r>
      <w:r w:rsidR="006714F7" w:rsidRPr="00A9116C">
        <w:rPr>
          <w:lang w:val="ro-RO"/>
        </w:rPr>
        <w:t>rezentei scrisori în timp util Consultantului de I</w:t>
      </w:r>
      <w:r w:rsidRPr="00A9116C">
        <w:rPr>
          <w:lang w:val="ro-RO"/>
        </w:rPr>
        <w:t>mplementare.</w:t>
      </w:r>
    </w:p>
    <w:p w:rsidR="00625C46" w:rsidRPr="00A9116C" w:rsidRDefault="006714F7" w:rsidP="00625C46">
      <w:pPr>
        <w:rPr>
          <w:lang w:val="ro-RO"/>
        </w:rPr>
      </w:pPr>
      <w:r w:rsidRPr="00A9116C">
        <w:rPr>
          <w:lang w:val="ro-RO"/>
        </w:rPr>
        <w:t>Cu respect</w:t>
      </w:r>
      <w:r w:rsidR="00625C46" w:rsidRPr="00A9116C">
        <w:rPr>
          <w:lang w:val="ro-RO"/>
        </w:rPr>
        <w:t>,</w:t>
      </w:r>
    </w:p>
    <w:p w:rsidR="00625C46" w:rsidRPr="00A9116C" w:rsidRDefault="006714F7" w:rsidP="006714F7">
      <w:pPr>
        <w:rPr>
          <w:lang w:val="ro-RO"/>
        </w:rPr>
      </w:pPr>
      <w:r w:rsidRPr="00A9116C">
        <w:rPr>
          <w:lang w:val="ro-RO"/>
        </w:rPr>
        <w:t>KfW</w:t>
      </w:r>
    </w:p>
    <w:p w:rsidR="006714F7" w:rsidRPr="00A9116C" w:rsidRDefault="006714F7" w:rsidP="006714F7">
      <w:pPr>
        <w:rPr>
          <w:lang w:val="ro-RO"/>
        </w:rPr>
      </w:pPr>
    </w:p>
    <w:p w:rsidR="00605BE7" w:rsidRPr="00A9116C" w:rsidRDefault="00605BE7" w:rsidP="006714F7">
      <w:pPr>
        <w:rPr>
          <w:lang w:val="ro-RO"/>
        </w:rPr>
      </w:pPr>
    </w:p>
    <w:p w:rsidR="00625C46" w:rsidRPr="00A9116C" w:rsidRDefault="00625C46" w:rsidP="00625C46">
      <w:pPr>
        <w:pStyle w:val="Listenabsatz2"/>
        <w:rPr>
          <w:lang w:val="ro-RO"/>
        </w:rPr>
      </w:pPr>
      <w:r w:rsidRPr="00A9116C">
        <w:rPr>
          <w:u w:val="single"/>
          <w:lang w:val="ro-RO"/>
        </w:rPr>
        <w:t>A</w:t>
      </w:r>
      <w:r w:rsidR="006714F7" w:rsidRPr="00A9116C">
        <w:rPr>
          <w:u w:val="single"/>
          <w:lang w:val="ro-RO"/>
        </w:rPr>
        <w:t>nexe</w:t>
      </w:r>
    </w:p>
    <w:p w:rsidR="00625C46" w:rsidRPr="00A9116C" w:rsidRDefault="006714F7" w:rsidP="00625C46">
      <w:pPr>
        <w:pStyle w:val="Listenabsatz2"/>
        <w:spacing w:before="0" w:after="0"/>
        <w:ind w:left="1134" w:hanging="1134"/>
        <w:rPr>
          <w:lang w:val="ro-RO"/>
        </w:rPr>
      </w:pPr>
      <w:r w:rsidRPr="00A9116C">
        <w:rPr>
          <w:lang w:val="ro-RO"/>
        </w:rPr>
        <w:t>Anexa</w:t>
      </w:r>
      <w:r w:rsidR="00625C46" w:rsidRPr="00A9116C">
        <w:rPr>
          <w:lang w:val="ro-RO"/>
        </w:rPr>
        <w:t xml:space="preserve"> 1:</w:t>
      </w:r>
      <w:r w:rsidR="00625C46" w:rsidRPr="00A9116C">
        <w:rPr>
          <w:lang w:val="ro-RO"/>
        </w:rPr>
        <w:tab/>
      </w:r>
      <w:r w:rsidRPr="00A9116C">
        <w:rPr>
          <w:lang w:val="ro-RO"/>
        </w:rPr>
        <w:t>Matricea Rezultatelor</w:t>
      </w:r>
    </w:p>
    <w:p w:rsidR="00625C46" w:rsidRPr="00A9116C" w:rsidRDefault="006714F7" w:rsidP="00625C46">
      <w:pPr>
        <w:pStyle w:val="Listenabsatz2"/>
        <w:spacing w:before="0" w:after="0"/>
        <w:ind w:left="1134" w:hanging="1134"/>
        <w:rPr>
          <w:lang w:val="ro-RO"/>
        </w:rPr>
      </w:pPr>
      <w:r w:rsidRPr="00A9116C">
        <w:rPr>
          <w:lang w:val="ro-RO"/>
        </w:rPr>
        <w:t>Anexa</w:t>
      </w:r>
      <w:r w:rsidR="00625C46" w:rsidRPr="00A9116C">
        <w:rPr>
          <w:lang w:val="ro-RO"/>
        </w:rPr>
        <w:t xml:space="preserve"> 2:</w:t>
      </w:r>
      <w:r w:rsidR="00625C46" w:rsidRPr="00A9116C">
        <w:rPr>
          <w:lang w:val="ro-RO"/>
        </w:rPr>
        <w:tab/>
      </w:r>
      <w:r w:rsidR="0056534F" w:rsidRPr="00A9116C">
        <w:rPr>
          <w:lang w:val="ro-RO"/>
        </w:rPr>
        <w:t>Grafic</w:t>
      </w:r>
    </w:p>
    <w:p w:rsidR="00625C46" w:rsidRPr="00A9116C" w:rsidRDefault="006714F7" w:rsidP="00625C46">
      <w:pPr>
        <w:pStyle w:val="Listenabsatz2"/>
        <w:spacing w:before="0" w:after="0"/>
        <w:ind w:left="1134" w:hanging="1134"/>
        <w:rPr>
          <w:lang w:val="ro-RO"/>
        </w:rPr>
      </w:pPr>
      <w:r w:rsidRPr="00A9116C">
        <w:rPr>
          <w:lang w:val="ro-RO"/>
        </w:rPr>
        <w:t>Anexa</w:t>
      </w:r>
      <w:r w:rsidR="00625C46" w:rsidRPr="00A9116C">
        <w:rPr>
          <w:lang w:val="ro-RO"/>
        </w:rPr>
        <w:t xml:space="preserve"> 3:</w:t>
      </w:r>
      <w:r w:rsidR="00625C46" w:rsidRPr="00A9116C">
        <w:rPr>
          <w:lang w:val="ro-RO"/>
        </w:rPr>
        <w:tab/>
      </w:r>
      <w:r w:rsidR="0056534F" w:rsidRPr="00A9116C">
        <w:rPr>
          <w:lang w:val="ro-RO"/>
        </w:rPr>
        <w:t>C</w:t>
      </w:r>
      <w:r w:rsidR="00803EB1" w:rsidRPr="00A9116C">
        <w:rPr>
          <w:lang w:val="ro-RO"/>
        </w:rPr>
        <w:t>ost</w:t>
      </w:r>
      <w:r w:rsidR="0056534F" w:rsidRPr="00A9116C">
        <w:rPr>
          <w:lang w:val="ro-RO"/>
        </w:rPr>
        <w:t xml:space="preserve"> Total și Finanțare</w:t>
      </w:r>
    </w:p>
    <w:p w:rsidR="00625C46" w:rsidRPr="00A9116C" w:rsidRDefault="006714F7" w:rsidP="00625C46">
      <w:pPr>
        <w:pStyle w:val="Listenabsatz2"/>
        <w:spacing w:before="0" w:after="0"/>
        <w:ind w:left="1134" w:hanging="1134"/>
        <w:rPr>
          <w:lang w:val="ro-RO"/>
        </w:rPr>
      </w:pPr>
      <w:r w:rsidRPr="00A9116C">
        <w:rPr>
          <w:lang w:val="ro-RO"/>
        </w:rPr>
        <w:t>Anexa</w:t>
      </w:r>
      <w:r w:rsidR="00625C46" w:rsidRPr="00A9116C">
        <w:rPr>
          <w:lang w:val="ro-RO"/>
        </w:rPr>
        <w:t xml:space="preserve"> 4: </w:t>
      </w:r>
      <w:r w:rsidR="00625C46" w:rsidRPr="00A9116C">
        <w:rPr>
          <w:lang w:val="ro-RO"/>
        </w:rPr>
        <w:tab/>
      </w:r>
      <w:r w:rsidR="0056534F" w:rsidRPr="00A9116C">
        <w:rPr>
          <w:lang w:val="ro-RO"/>
        </w:rPr>
        <w:t>Procedura de Debursare</w:t>
      </w:r>
    </w:p>
    <w:p w:rsidR="00625C46" w:rsidRPr="00A9116C" w:rsidRDefault="006714F7" w:rsidP="00625C46">
      <w:pPr>
        <w:pStyle w:val="Listenabsatz2"/>
        <w:spacing w:before="0" w:after="0"/>
        <w:ind w:left="1134" w:hanging="1134"/>
        <w:rPr>
          <w:rStyle w:val="ae"/>
          <w:lang w:val="ro-RO"/>
        </w:rPr>
      </w:pPr>
      <w:r w:rsidRPr="00A9116C">
        <w:rPr>
          <w:rFonts w:cs="Arial"/>
          <w:szCs w:val="22"/>
          <w:lang w:val="ro-RO"/>
        </w:rPr>
        <w:t>Anexa</w:t>
      </w:r>
      <w:r w:rsidR="00625C46" w:rsidRPr="00A9116C">
        <w:rPr>
          <w:rFonts w:cs="Arial"/>
          <w:szCs w:val="22"/>
          <w:lang w:val="ro-RO"/>
        </w:rPr>
        <w:t xml:space="preserve"> 5:</w:t>
      </w:r>
      <w:r w:rsidR="00625C46" w:rsidRPr="00A9116C">
        <w:rPr>
          <w:rFonts w:cs="Arial"/>
          <w:szCs w:val="22"/>
          <w:lang w:val="ro-RO"/>
        </w:rPr>
        <w:tab/>
      </w:r>
      <w:r w:rsidR="00DA3E55" w:rsidRPr="00A9116C">
        <w:rPr>
          <w:rStyle w:val="ae"/>
          <w:szCs w:val="22"/>
          <w:lang w:val="ro-RO"/>
        </w:rPr>
        <w:t>Ghidul privind achiziția serviciilor de consultanță, lucrărilor, instalațiilor, bunurilor și altor servicii în afara celor de consultanță în domeniul cooperării financiare cu țările partenere</w:t>
      </w:r>
    </w:p>
    <w:p w:rsidR="00625C46" w:rsidRPr="00A9116C" w:rsidRDefault="006714F7" w:rsidP="00625C46">
      <w:pPr>
        <w:pStyle w:val="Listenabsatz2"/>
        <w:spacing w:before="0" w:after="0"/>
        <w:ind w:left="1134" w:hanging="1134"/>
        <w:rPr>
          <w:rFonts w:cs="Arial"/>
          <w:color w:val="000000"/>
          <w:szCs w:val="24"/>
          <w:lang w:val="ro-RO"/>
        </w:rPr>
      </w:pPr>
      <w:r w:rsidRPr="00A9116C">
        <w:rPr>
          <w:rFonts w:cs="Arial"/>
          <w:color w:val="000000"/>
          <w:szCs w:val="24"/>
          <w:lang w:val="ro-RO"/>
        </w:rPr>
        <w:t>Anexa</w:t>
      </w:r>
      <w:r w:rsidR="00625C46" w:rsidRPr="00A9116C">
        <w:rPr>
          <w:rFonts w:cs="Arial"/>
          <w:color w:val="000000"/>
          <w:szCs w:val="24"/>
          <w:lang w:val="ro-RO"/>
        </w:rPr>
        <w:t xml:space="preserve"> 6:</w:t>
      </w:r>
      <w:r w:rsidR="00625C46" w:rsidRPr="00A9116C">
        <w:rPr>
          <w:rFonts w:cs="Arial"/>
          <w:color w:val="000000"/>
          <w:szCs w:val="24"/>
          <w:lang w:val="ro-RO"/>
        </w:rPr>
        <w:tab/>
      </w:r>
      <w:r w:rsidR="00DA3E55" w:rsidRPr="00A9116C">
        <w:rPr>
          <w:rFonts w:cs="Arial"/>
          <w:color w:val="000000"/>
          <w:szCs w:val="24"/>
          <w:lang w:val="ro-RO"/>
        </w:rPr>
        <w:t>Plan de Achiziții</w:t>
      </w:r>
    </w:p>
    <w:p w:rsidR="00625C46" w:rsidRPr="00A9116C" w:rsidRDefault="006714F7" w:rsidP="00625C46">
      <w:pPr>
        <w:pStyle w:val="Listenabsatz2"/>
        <w:spacing w:before="0" w:after="0"/>
        <w:ind w:left="1134" w:hanging="1134"/>
        <w:rPr>
          <w:rFonts w:cs="Arial"/>
          <w:color w:val="000000"/>
          <w:szCs w:val="24"/>
          <w:lang w:val="ro-RO"/>
        </w:rPr>
      </w:pPr>
      <w:r w:rsidRPr="00A9116C">
        <w:rPr>
          <w:rFonts w:cs="Arial"/>
          <w:color w:val="000000"/>
          <w:szCs w:val="24"/>
          <w:lang w:val="ro-RO"/>
        </w:rPr>
        <w:t>Anexa</w:t>
      </w:r>
      <w:r w:rsidR="00625C46" w:rsidRPr="00A9116C">
        <w:rPr>
          <w:rFonts w:cs="Arial"/>
          <w:color w:val="000000"/>
          <w:szCs w:val="24"/>
          <w:lang w:val="ro-RO"/>
        </w:rPr>
        <w:t xml:space="preserve"> 7a:</w:t>
      </w:r>
      <w:r w:rsidR="00625C46" w:rsidRPr="00A9116C">
        <w:rPr>
          <w:rFonts w:cs="Arial"/>
          <w:color w:val="000000"/>
          <w:szCs w:val="24"/>
          <w:lang w:val="ro-RO"/>
        </w:rPr>
        <w:tab/>
      </w:r>
      <w:r w:rsidR="004A6D32" w:rsidRPr="00A9116C">
        <w:rPr>
          <w:rFonts w:cs="Arial"/>
          <w:color w:val="000000"/>
          <w:szCs w:val="24"/>
          <w:lang w:val="ro-RO"/>
        </w:rPr>
        <w:t>Conținutul și Forma Raportului către KfW</w:t>
      </w:r>
    </w:p>
    <w:p w:rsidR="00625C46" w:rsidRPr="00A9116C" w:rsidRDefault="006714F7" w:rsidP="00625C46">
      <w:pPr>
        <w:pStyle w:val="Listenabsatz2"/>
        <w:spacing w:before="0" w:after="0"/>
        <w:ind w:left="1134" w:hanging="1134"/>
        <w:rPr>
          <w:rFonts w:cs="Arial"/>
          <w:color w:val="000000"/>
          <w:szCs w:val="24"/>
          <w:lang w:val="ro-RO"/>
        </w:rPr>
      </w:pPr>
      <w:r w:rsidRPr="00A9116C">
        <w:rPr>
          <w:rFonts w:cs="Arial"/>
          <w:color w:val="000000"/>
          <w:szCs w:val="24"/>
          <w:lang w:val="ro-RO"/>
        </w:rPr>
        <w:t>Anexa</w:t>
      </w:r>
      <w:r w:rsidR="00625C46" w:rsidRPr="00A9116C">
        <w:rPr>
          <w:rFonts w:cs="Arial"/>
          <w:color w:val="000000"/>
          <w:szCs w:val="24"/>
          <w:lang w:val="ro-RO"/>
        </w:rPr>
        <w:t xml:space="preserve"> 7b:</w:t>
      </w:r>
      <w:r w:rsidR="00625C46" w:rsidRPr="00A9116C">
        <w:rPr>
          <w:rFonts w:cs="Arial"/>
          <w:color w:val="000000"/>
          <w:szCs w:val="24"/>
          <w:lang w:val="ro-RO"/>
        </w:rPr>
        <w:tab/>
        <w:t>Benchmarking</w:t>
      </w:r>
    </w:p>
    <w:p w:rsidR="00625C46" w:rsidRPr="00A9116C" w:rsidRDefault="006714F7" w:rsidP="00625C46">
      <w:pPr>
        <w:pStyle w:val="Listenabsatz2"/>
        <w:spacing w:before="0" w:after="0"/>
        <w:ind w:left="1134" w:hanging="1134"/>
        <w:rPr>
          <w:rFonts w:cs="Arial"/>
          <w:color w:val="000000"/>
          <w:szCs w:val="24"/>
          <w:lang w:val="ro-RO"/>
        </w:rPr>
      </w:pPr>
      <w:r w:rsidRPr="00A9116C">
        <w:rPr>
          <w:rFonts w:cs="Arial"/>
          <w:color w:val="000000"/>
          <w:szCs w:val="24"/>
          <w:lang w:val="ro-RO"/>
        </w:rPr>
        <w:t>Anexa</w:t>
      </w:r>
      <w:r w:rsidR="00625C46" w:rsidRPr="00A9116C">
        <w:rPr>
          <w:rFonts w:cs="Arial"/>
          <w:color w:val="000000"/>
          <w:szCs w:val="24"/>
          <w:lang w:val="ro-RO"/>
        </w:rPr>
        <w:t xml:space="preserve"> 8:   </w:t>
      </w:r>
      <w:r w:rsidR="00191552" w:rsidRPr="00A9116C">
        <w:rPr>
          <w:rFonts w:cs="Arial"/>
          <w:color w:val="000000"/>
          <w:szCs w:val="24"/>
          <w:lang w:val="ro-RO"/>
        </w:rPr>
        <w:t xml:space="preserve">Instrumente de Achiziții Durabile </w:t>
      </w:r>
    </w:p>
    <w:p w:rsidR="00625C46" w:rsidRPr="00A9116C" w:rsidRDefault="006714F7" w:rsidP="00625C46">
      <w:pPr>
        <w:pStyle w:val="Listenabsatz2"/>
        <w:spacing w:before="0" w:after="0"/>
        <w:ind w:left="1134" w:hanging="1134"/>
        <w:rPr>
          <w:rFonts w:cs="Arial"/>
          <w:color w:val="000000"/>
          <w:szCs w:val="24"/>
          <w:lang w:val="ro-RO"/>
        </w:rPr>
      </w:pPr>
      <w:r w:rsidRPr="00A9116C">
        <w:rPr>
          <w:rFonts w:cs="Arial"/>
          <w:color w:val="000000"/>
          <w:szCs w:val="24"/>
          <w:lang w:val="ro-RO"/>
        </w:rPr>
        <w:t>Anexa</w:t>
      </w:r>
      <w:r w:rsidR="00625C46" w:rsidRPr="00A9116C">
        <w:rPr>
          <w:rFonts w:cs="Arial"/>
          <w:color w:val="000000"/>
          <w:szCs w:val="24"/>
          <w:lang w:val="ro-RO"/>
        </w:rPr>
        <w:t xml:space="preserve"> 9:   </w:t>
      </w:r>
      <w:r w:rsidR="00191552" w:rsidRPr="00A9116C">
        <w:rPr>
          <w:rFonts w:cs="Arial"/>
          <w:color w:val="000000"/>
          <w:szCs w:val="24"/>
          <w:lang w:val="ro-RO"/>
        </w:rPr>
        <w:t xml:space="preserve">Proces-Verbal </w:t>
      </w:r>
      <w:r w:rsidR="00430926" w:rsidRPr="00A9116C">
        <w:rPr>
          <w:rFonts w:cs="Arial"/>
          <w:color w:val="000000"/>
          <w:szCs w:val="24"/>
          <w:lang w:val="ro-RO"/>
        </w:rPr>
        <w:t xml:space="preserve">al Ședinței de Evaluare a Misiunii din 6 </w:t>
      </w:r>
      <w:r w:rsidR="00BD6D7D" w:rsidRPr="00A9116C">
        <w:rPr>
          <w:rFonts w:cs="Arial"/>
          <w:color w:val="000000"/>
          <w:szCs w:val="24"/>
          <w:lang w:val="ro-RO"/>
        </w:rPr>
        <w:t>septembrie</w:t>
      </w:r>
      <w:r w:rsidR="00430926" w:rsidRPr="00A9116C">
        <w:rPr>
          <w:rFonts w:cs="Arial"/>
          <w:color w:val="000000"/>
          <w:szCs w:val="24"/>
          <w:lang w:val="ro-RO"/>
        </w:rPr>
        <w:t xml:space="preserve"> 2018</w:t>
      </w:r>
    </w:p>
    <w:p w:rsidR="00625C46" w:rsidRPr="00A9116C" w:rsidRDefault="006714F7" w:rsidP="00625C46">
      <w:pPr>
        <w:pStyle w:val="Listenabsatz2"/>
        <w:spacing w:before="0" w:after="0"/>
        <w:ind w:left="1134" w:hanging="1134"/>
        <w:rPr>
          <w:rFonts w:cs="Arial"/>
          <w:color w:val="000000"/>
          <w:szCs w:val="24"/>
          <w:lang w:val="ro-RO"/>
        </w:rPr>
      </w:pPr>
      <w:r w:rsidRPr="00A9116C">
        <w:rPr>
          <w:rFonts w:cs="Arial"/>
          <w:color w:val="000000"/>
          <w:szCs w:val="24"/>
          <w:lang w:val="ro-RO"/>
        </w:rPr>
        <w:t>Anexa</w:t>
      </w:r>
      <w:r w:rsidR="00625C46" w:rsidRPr="00A9116C">
        <w:rPr>
          <w:rFonts w:cs="Arial"/>
          <w:color w:val="000000"/>
          <w:szCs w:val="24"/>
          <w:lang w:val="ro-RO"/>
        </w:rPr>
        <w:t xml:space="preserve"> 10: </w:t>
      </w:r>
      <w:r w:rsidR="00430926" w:rsidRPr="00A9116C">
        <w:rPr>
          <w:rFonts w:cs="Arial"/>
          <w:color w:val="000000"/>
          <w:szCs w:val="24"/>
          <w:lang w:val="ro-RO"/>
        </w:rPr>
        <w:t>Acord de Cooperare din 5 iunie 2019</w:t>
      </w:r>
    </w:p>
    <w:p w:rsidR="00625C46" w:rsidRPr="00A9116C" w:rsidRDefault="00625C46" w:rsidP="00625C46">
      <w:pPr>
        <w:pStyle w:val="Listenabsatz2"/>
        <w:spacing w:before="0" w:after="0"/>
        <w:ind w:left="1134" w:hanging="1134"/>
        <w:rPr>
          <w:rStyle w:val="ae"/>
          <w:lang w:val="ro-RO"/>
        </w:rPr>
      </w:pPr>
    </w:p>
    <w:p w:rsidR="00625C46" w:rsidRPr="00A9116C" w:rsidRDefault="00266ED0" w:rsidP="00625C46">
      <w:pPr>
        <w:spacing w:after="120" w:line="320" w:lineRule="atLeast"/>
        <w:rPr>
          <w:rFonts w:cs="Arial"/>
          <w:szCs w:val="22"/>
          <w:lang w:val="ro-RO"/>
        </w:rPr>
      </w:pPr>
      <w:r w:rsidRPr="00A9116C">
        <w:rPr>
          <w:rFonts w:cs="Arial"/>
          <w:szCs w:val="22"/>
          <w:u w:val="single"/>
          <w:lang w:val="ro-RO"/>
        </w:rPr>
        <w:t>Citit și aprobat</w:t>
      </w:r>
      <w:r w:rsidR="00625C46" w:rsidRPr="00A9116C">
        <w:rPr>
          <w:rFonts w:cs="Arial"/>
          <w:szCs w:val="22"/>
          <w:u w:val="single"/>
          <w:lang w:val="ro-RO"/>
        </w:rPr>
        <w:t>:</w:t>
      </w:r>
    </w:p>
    <w:p w:rsidR="00625C46" w:rsidRPr="00A9116C" w:rsidRDefault="00625C46" w:rsidP="00625C46">
      <w:pPr>
        <w:spacing w:after="120" w:line="320" w:lineRule="atLeast"/>
        <w:rPr>
          <w:rFonts w:cs="Arial"/>
          <w:szCs w:val="22"/>
          <w:lang w:val="ro-RO"/>
        </w:rPr>
      </w:pPr>
    </w:p>
    <w:p w:rsidR="00625C46" w:rsidRPr="00A9116C" w:rsidRDefault="00266ED0" w:rsidP="00625C46">
      <w:pPr>
        <w:spacing w:after="120" w:line="320" w:lineRule="atLeast"/>
        <w:rPr>
          <w:rFonts w:cs="Arial"/>
          <w:szCs w:val="22"/>
          <w:lang w:val="ro-RO"/>
        </w:rPr>
      </w:pPr>
      <w:r w:rsidRPr="00A9116C">
        <w:rPr>
          <w:rFonts w:cs="Arial"/>
          <w:szCs w:val="22"/>
          <w:lang w:val="ro-RO"/>
        </w:rPr>
        <w:t>Locul</w:t>
      </w:r>
      <w:r w:rsidR="00625C46" w:rsidRPr="00A9116C">
        <w:rPr>
          <w:rFonts w:cs="Arial"/>
          <w:szCs w:val="22"/>
          <w:lang w:val="ro-RO"/>
        </w:rPr>
        <w:t>:_______________________</w:t>
      </w:r>
    </w:p>
    <w:p w:rsidR="00625C46" w:rsidRPr="00A9116C" w:rsidRDefault="00625C46" w:rsidP="00625C46">
      <w:pPr>
        <w:spacing w:after="120" w:line="320" w:lineRule="atLeast"/>
        <w:rPr>
          <w:rFonts w:cs="Arial"/>
          <w:szCs w:val="22"/>
          <w:lang w:val="ro-RO"/>
        </w:rPr>
      </w:pPr>
    </w:p>
    <w:p w:rsidR="00625C46" w:rsidRPr="00A9116C" w:rsidRDefault="00266ED0" w:rsidP="00625C46">
      <w:pPr>
        <w:spacing w:after="120" w:line="320" w:lineRule="atLeast"/>
        <w:rPr>
          <w:rFonts w:cs="Arial"/>
          <w:szCs w:val="22"/>
          <w:lang w:val="ro-RO"/>
        </w:rPr>
      </w:pPr>
      <w:r w:rsidRPr="00A9116C">
        <w:rPr>
          <w:rFonts w:cs="Arial"/>
          <w:szCs w:val="22"/>
          <w:lang w:val="ro-RO"/>
        </w:rPr>
        <w:t>Data</w:t>
      </w:r>
      <w:r w:rsidR="00625C46" w:rsidRPr="00A9116C">
        <w:rPr>
          <w:rFonts w:cs="Arial"/>
          <w:szCs w:val="22"/>
          <w:lang w:val="ro-RO"/>
        </w:rPr>
        <w:t>:________________________</w:t>
      </w:r>
    </w:p>
    <w:p w:rsidR="00625C46" w:rsidRPr="00A9116C" w:rsidRDefault="00625C46" w:rsidP="00625C46">
      <w:pPr>
        <w:spacing w:after="120" w:line="320" w:lineRule="atLeast"/>
        <w:rPr>
          <w:rFonts w:cs="Arial"/>
          <w:szCs w:val="22"/>
          <w:lang w:val="ro-RO"/>
        </w:rPr>
      </w:pPr>
    </w:p>
    <w:p w:rsidR="00625C46" w:rsidRPr="00A9116C" w:rsidRDefault="00625C46" w:rsidP="00625C46">
      <w:pPr>
        <w:spacing w:after="120" w:line="320" w:lineRule="atLeast"/>
        <w:rPr>
          <w:rFonts w:cs="Arial"/>
          <w:szCs w:val="22"/>
          <w:lang w:val="ro-RO"/>
        </w:rPr>
      </w:pPr>
    </w:p>
    <w:p w:rsidR="00625C46" w:rsidRPr="00A9116C" w:rsidRDefault="00266ED0" w:rsidP="00625C46">
      <w:pPr>
        <w:tabs>
          <w:tab w:val="left" w:pos="4253"/>
        </w:tabs>
        <w:spacing w:before="0" w:after="0" w:line="240" w:lineRule="auto"/>
        <w:rPr>
          <w:szCs w:val="22"/>
          <w:lang w:val="ro-RO" w:eastAsia="de-DE"/>
        </w:rPr>
      </w:pPr>
      <w:r w:rsidRPr="00A9116C">
        <w:rPr>
          <w:szCs w:val="22"/>
          <w:lang w:val="ro-RO" w:eastAsia="de-DE"/>
        </w:rPr>
        <w:t xml:space="preserve">Agenția de Dezvoltare Regională Centru </w:t>
      </w:r>
    </w:p>
    <w:p w:rsidR="00625C46" w:rsidRPr="00A9116C" w:rsidRDefault="00803EB1" w:rsidP="00625C46">
      <w:pPr>
        <w:pStyle w:val="Listenabsatz2"/>
        <w:spacing w:before="0" w:after="0"/>
        <w:rPr>
          <w:lang w:val="ro-RO"/>
        </w:rPr>
      </w:pPr>
      <w:r w:rsidRPr="00A9116C">
        <w:rPr>
          <w:szCs w:val="22"/>
          <w:lang w:val="ro-RO"/>
        </w:rPr>
        <w:t>Recunoscut: Ministerul Agriculturii, Dezvoltării Regionale și Mediului</w:t>
      </w:r>
    </w:p>
    <w:p w:rsidR="00625C46" w:rsidRPr="00A9116C" w:rsidRDefault="006714F7" w:rsidP="00625C46">
      <w:pPr>
        <w:spacing w:before="0" w:after="0" w:line="240" w:lineRule="auto"/>
        <w:jc w:val="right"/>
        <w:rPr>
          <w:rFonts w:cs="Arial"/>
          <w:szCs w:val="22"/>
          <w:u w:val="single"/>
          <w:lang w:val="ro-RO"/>
        </w:rPr>
      </w:pPr>
      <w:r w:rsidRPr="00A9116C">
        <w:rPr>
          <w:rFonts w:cs="Arial"/>
          <w:szCs w:val="22"/>
          <w:u w:val="single"/>
          <w:lang w:val="ro-RO"/>
        </w:rPr>
        <w:lastRenderedPageBreak/>
        <w:t>Anexa</w:t>
      </w:r>
      <w:r w:rsidR="00625C46" w:rsidRPr="00A9116C">
        <w:rPr>
          <w:rFonts w:cs="Arial"/>
          <w:szCs w:val="22"/>
          <w:u w:val="single"/>
          <w:lang w:val="ro-RO"/>
        </w:rPr>
        <w:t xml:space="preserve"> 3</w:t>
      </w:r>
    </w:p>
    <w:p w:rsidR="00625C46" w:rsidRPr="00A9116C" w:rsidRDefault="00803EB1" w:rsidP="00625C46">
      <w:pPr>
        <w:keepNext/>
        <w:keepLines/>
        <w:spacing w:line="360" w:lineRule="exact"/>
        <w:jc w:val="center"/>
        <w:rPr>
          <w:rFonts w:cs="Arial"/>
          <w:b/>
          <w:szCs w:val="22"/>
          <w:lang w:val="ro-RO"/>
        </w:rPr>
      </w:pPr>
      <w:r w:rsidRPr="00A9116C">
        <w:rPr>
          <w:rFonts w:cs="Arial"/>
          <w:b/>
          <w:szCs w:val="22"/>
          <w:lang w:val="ro-RO"/>
        </w:rPr>
        <w:t>Aprovizionare cu apă și canalizare în centrul Moldovei Cost Total și Finanțare</w:t>
      </w:r>
    </w:p>
    <w:tbl>
      <w:tblPr>
        <w:tblW w:w="8249"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889"/>
        <w:gridCol w:w="1414"/>
        <w:gridCol w:w="1585"/>
      </w:tblGrid>
      <w:tr w:rsidR="00625C46" w:rsidRPr="00A9116C" w:rsidTr="00912EE4">
        <w:trPr>
          <w:trHeight w:val="511"/>
        </w:trPr>
        <w:tc>
          <w:tcPr>
            <w:tcW w:w="5250" w:type="dxa"/>
            <w:gridSpan w:val="2"/>
            <w:tcBorders>
              <w:bottom w:val="single" w:sz="4" w:space="0" w:color="auto"/>
            </w:tcBorders>
            <w:shd w:val="clear" w:color="auto" w:fill="auto"/>
          </w:tcPr>
          <w:p w:rsidR="00625C46" w:rsidRPr="00A9116C" w:rsidRDefault="00625C46" w:rsidP="00912EE4">
            <w:pPr>
              <w:spacing w:before="0" w:after="0"/>
              <w:rPr>
                <w:rFonts w:eastAsia="Calibri" w:cs="Arial"/>
                <w:b/>
                <w:szCs w:val="22"/>
                <w:lang w:val="ro-RO"/>
              </w:rPr>
            </w:pPr>
            <w:r w:rsidRPr="00A9116C">
              <w:rPr>
                <w:rFonts w:eastAsia="Calibri" w:cs="Arial"/>
                <w:b/>
                <w:szCs w:val="22"/>
                <w:lang w:val="ro-RO"/>
              </w:rPr>
              <w:t>COST</w:t>
            </w:r>
          </w:p>
        </w:tc>
        <w:tc>
          <w:tcPr>
            <w:tcW w:w="2999" w:type="dxa"/>
            <w:gridSpan w:val="2"/>
            <w:tcBorders>
              <w:bottom w:val="single" w:sz="4" w:space="0" w:color="auto"/>
            </w:tcBorders>
          </w:tcPr>
          <w:p w:rsidR="00625C46" w:rsidRPr="00A9116C" w:rsidRDefault="00E44AE3" w:rsidP="00912EE4">
            <w:pPr>
              <w:spacing w:before="0" w:after="0"/>
              <w:rPr>
                <w:rFonts w:eastAsia="Calibri" w:cs="Arial"/>
                <w:b/>
                <w:szCs w:val="22"/>
                <w:lang w:val="ro-RO"/>
              </w:rPr>
            </w:pPr>
            <w:r w:rsidRPr="00A9116C">
              <w:rPr>
                <w:rFonts w:eastAsia="Calibri" w:cs="Arial"/>
                <w:b/>
                <w:szCs w:val="22"/>
                <w:lang w:val="ro-RO"/>
              </w:rPr>
              <w:t>FINANȚARE</w:t>
            </w:r>
          </w:p>
        </w:tc>
      </w:tr>
      <w:tr w:rsidR="00625C46" w:rsidRPr="00A9116C" w:rsidTr="00912EE4">
        <w:tc>
          <w:tcPr>
            <w:tcW w:w="4361" w:type="dxa"/>
            <w:shd w:val="clear" w:color="auto" w:fill="BFBFBF" w:themeFill="background1" w:themeFillShade="BF"/>
          </w:tcPr>
          <w:p w:rsidR="00625C46" w:rsidRPr="00A9116C" w:rsidRDefault="001F2D62" w:rsidP="00912EE4">
            <w:pPr>
              <w:spacing w:before="0" w:after="0"/>
              <w:rPr>
                <w:rFonts w:eastAsia="Calibri" w:cs="Arial"/>
                <w:b/>
                <w:szCs w:val="22"/>
                <w:lang w:val="ro-RO"/>
              </w:rPr>
            </w:pPr>
            <w:r w:rsidRPr="00A9116C">
              <w:rPr>
                <w:rFonts w:eastAsia="Calibri" w:cs="Arial"/>
                <w:b/>
                <w:szCs w:val="22"/>
                <w:lang w:val="ro-RO"/>
              </w:rPr>
              <w:t>Investiții</w:t>
            </w:r>
          </w:p>
        </w:tc>
        <w:tc>
          <w:tcPr>
            <w:tcW w:w="889" w:type="dxa"/>
            <w:shd w:val="clear" w:color="auto" w:fill="BFBFBF" w:themeFill="background1" w:themeFillShade="BF"/>
          </w:tcPr>
          <w:p w:rsidR="00625C46" w:rsidRPr="00A9116C" w:rsidRDefault="001F2D62" w:rsidP="00912EE4">
            <w:pPr>
              <w:spacing w:before="0" w:after="0"/>
              <w:jc w:val="center"/>
              <w:rPr>
                <w:rFonts w:eastAsia="Calibri" w:cs="Arial"/>
                <w:b/>
                <w:szCs w:val="22"/>
                <w:lang w:val="ro-RO"/>
              </w:rPr>
            </w:pPr>
            <w:r w:rsidRPr="00A9116C">
              <w:rPr>
                <w:rFonts w:eastAsia="Calibri" w:cs="Arial"/>
                <w:b/>
                <w:szCs w:val="22"/>
                <w:lang w:val="ro-RO"/>
              </w:rPr>
              <w:t>î</w:t>
            </w:r>
            <w:r w:rsidR="000040C2" w:rsidRPr="00A9116C">
              <w:rPr>
                <w:rFonts w:eastAsia="Calibri" w:cs="Arial"/>
                <w:b/>
                <w:szCs w:val="22"/>
                <w:lang w:val="ro-RO"/>
              </w:rPr>
              <w:t>n Mln</w:t>
            </w:r>
            <w:r w:rsidR="00625C46" w:rsidRPr="00A9116C">
              <w:rPr>
                <w:rFonts w:eastAsia="Calibri" w:cs="Arial"/>
                <w:b/>
                <w:szCs w:val="22"/>
                <w:lang w:val="ro-RO"/>
              </w:rPr>
              <w:t>. EUR</w:t>
            </w:r>
          </w:p>
        </w:tc>
        <w:tc>
          <w:tcPr>
            <w:tcW w:w="1414" w:type="dxa"/>
            <w:tcBorders>
              <w:right w:val="dashSmallGap" w:sz="4" w:space="0" w:color="auto"/>
            </w:tcBorders>
            <w:shd w:val="clear" w:color="auto" w:fill="BFBFBF" w:themeFill="background1" w:themeFillShade="BF"/>
          </w:tcPr>
          <w:p w:rsidR="00625C46" w:rsidRPr="00A9116C" w:rsidRDefault="000040C2" w:rsidP="00912EE4">
            <w:pPr>
              <w:spacing w:before="0" w:after="0"/>
              <w:jc w:val="center"/>
              <w:rPr>
                <w:rFonts w:eastAsia="Calibri" w:cs="Arial"/>
                <w:b/>
                <w:szCs w:val="22"/>
                <w:lang w:val="ro-RO"/>
              </w:rPr>
            </w:pPr>
            <w:r w:rsidRPr="00A9116C">
              <w:rPr>
                <w:rFonts w:eastAsia="Calibri" w:cs="Arial"/>
                <w:b/>
                <w:szCs w:val="22"/>
                <w:lang w:val="ro-RO"/>
              </w:rPr>
              <w:t>BMZ-Nr</w:t>
            </w:r>
            <w:r w:rsidR="00625C46" w:rsidRPr="00A9116C">
              <w:rPr>
                <w:rFonts w:eastAsia="Calibri" w:cs="Arial"/>
                <w:b/>
                <w:szCs w:val="22"/>
                <w:lang w:val="ro-RO"/>
              </w:rPr>
              <w:t>. 201366897</w:t>
            </w:r>
          </w:p>
        </w:tc>
        <w:tc>
          <w:tcPr>
            <w:tcW w:w="1585" w:type="dxa"/>
            <w:tcBorders>
              <w:left w:val="dashSmallGap" w:sz="4" w:space="0" w:color="auto"/>
            </w:tcBorders>
            <w:shd w:val="clear" w:color="auto" w:fill="BFBFBF" w:themeFill="background1" w:themeFillShade="BF"/>
          </w:tcPr>
          <w:p w:rsidR="00625C46" w:rsidRPr="00A9116C" w:rsidRDefault="000040C2" w:rsidP="00912EE4">
            <w:pPr>
              <w:spacing w:before="0" w:after="0"/>
              <w:jc w:val="center"/>
              <w:rPr>
                <w:rFonts w:eastAsia="Calibri" w:cs="Arial"/>
                <w:b/>
                <w:szCs w:val="22"/>
                <w:lang w:val="ro-RO"/>
              </w:rPr>
            </w:pPr>
            <w:r w:rsidRPr="00A9116C">
              <w:rPr>
                <w:rFonts w:eastAsia="Calibri" w:cs="Arial"/>
                <w:b/>
                <w:szCs w:val="22"/>
                <w:lang w:val="ro-RO"/>
              </w:rPr>
              <w:t xml:space="preserve">Contribuția proprie a Partenerului din Moldova </w:t>
            </w:r>
          </w:p>
        </w:tc>
      </w:tr>
      <w:tr w:rsidR="00625C46" w:rsidRPr="00A9116C" w:rsidTr="00912EE4">
        <w:tc>
          <w:tcPr>
            <w:tcW w:w="4361" w:type="dxa"/>
            <w:shd w:val="clear" w:color="auto" w:fill="auto"/>
          </w:tcPr>
          <w:p w:rsidR="00625C46" w:rsidRPr="00A9116C" w:rsidRDefault="000040C2" w:rsidP="00912EE4">
            <w:pPr>
              <w:spacing w:before="0" w:after="0"/>
              <w:contextualSpacing/>
              <w:rPr>
                <w:rFonts w:eastAsia="Calibri" w:cs="Arial"/>
                <w:szCs w:val="22"/>
                <w:lang w:val="ro-RO"/>
              </w:rPr>
            </w:pPr>
            <w:r w:rsidRPr="00A9116C">
              <w:rPr>
                <w:rFonts w:eastAsia="Calibri" w:cs="Arial"/>
                <w:szCs w:val="22"/>
                <w:lang w:val="ro-RO"/>
              </w:rPr>
              <w:t>Conducta Principală</w:t>
            </w:r>
            <w:r w:rsidR="00625C46" w:rsidRPr="00A9116C">
              <w:rPr>
                <w:rFonts w:eastAsia="Calibri" w:cs="Arial"/>
                <w:szCs w:val="22"/>
                <w:lang w:val="ro-RO"/>
              </w:rPr>
              <w:t xml:space="preserve"> *)</w:t>
            </w:r>
          </w:p>
        </w:tc>
        <w:tc>
          <w:tcPr>
            <w:tcW w:w="889" w:type="dxa"/>
            <w:shd w:val="clear" w:color="auto" w:fill="auto"/>
          </w:tcPr>
          <w:p w:rsidR="00625C46" w:rsidRPr="00A9116C" w:rsidRDefault="00625C46" w:rsidP="00912EE4">
            <w:pPr>
              <w:spacing w:before="0" w:after="0"/>
              <w:jc w:val="right"/>
              <w:rPr>
                <w:rFonts w:eastAsia="Calibri" w:cs="Arial"/>
                <w:szCs w:val="22"/>
                <w:lang w:val="ro-RO"/>
              </w:rPr>
            </w:pPr>
            <w:r w:rsidRPr="00A9116C">
              <w:rPr>
                <w:rFonts w:eastAsia="Calibri" w:cs="Arial"/>
                <w:szCs w:val="22"/>
                <w:lang w:val="ro-RO"/>
              </w:rPr>
              <w:t>12,40</w:t>
            </w:r>
          </w:p>
        </w:tc>
        <w:tc>
          <w:tcPr>
            <w:tcW w:w="1414" w:type="dxa"/>
            <w:tcBorders>
              <w:right w:val="dashSmallGap" w:sz="4" w:space="0" w:color="auto"/>
            </w:tcBorders>
            <w:shd w:val="clear" w:color="auto" w:fill="auto"/>
          </w:tcPr>
          <w:p w:rsidR="00625C46" w:rsidRPr="00A9116C" w:rsidRDefault="00625C46" w:rsidP="00912EE4">
            <w:pPr>
              <w:spacing w:before="0" w:after="0"/>
              <w:jc w:val="right"/>
              <w:rPr>
                <w:rFonts w:eastAsia="Calibri" w:cs="Arial"/>
                <w:szCs w:val="22"/>
                <w:lang w:val="ro-RO"/>
              </w:rPr>
            </w:pPr>
            <w:r w:rsidRPr="00A9116C">
              <w:rPr>
                <w:rFonts w:eastAsia="Calibri" w:cs="Arial"/>
                <w:szCs w:val="22"/>
                <w:lang w:val="ro-RO"/>
              </w:rPr>
              <w:t>12,40</w:t>
            </w:r>
          </w:p>
        </w:tc>
        <w:tc>
          <w:tcPr>
            <w:tcW w:w="1585" w:type="dxa"/>
            <w:tcBorders>
              <w:left w:val="dashSmallGap" w:sz="4" w:space="0" w:color="auto"/>
            </w:tcBorders>
            <w:shd w:val="clear" w:color="auto" w:fill="auto"/>
          </w:tcPr>
          <w:p w:rsidR="00625C46" w:rsidRPr="00A9116C" w:rsidRDefault="00625C46" w:rsidP="00912EE4">
            <w:pPr>
              <w:spacing w:before="0" w:after="0"/>
              <w:jc w:val="right"/>
              <w:rPr>
                <w:rFonts w:eastAsia="Calibri" w:cs="Arial"/>
                <w:szCs w:val="22"/>
                <w:lang w:val="ro-RO"/>
              </w:rPr>
            </w:pPr>
            <w:r w:rsidRPr="00A9116C">
              <w:rPr>
                <w:rFonts w:eastAsia="Calibri" w:cs="Arial"/>
                <w:szCs w:val="22"/>
                <w:lang w:val="ro-RO"/>
              </w:rPr>
              <w:t>0,00</w:t>
            </w:r>
          </w:p>
        </w:tc>
      </w:tr>
      <w:tr w:rsidR="00625C46" w:rsidRPr="00A9116C" w:rsidTr="00912EE4">
        <w:tc>
          <w:tcPr>
            <w:tcW w:w="4361" w:type="dxa"/>
            <w:shd w:val="clear" w:color="auto" w:fill="auto"/>
          </w:tcPr>
          <w:p w:rsidR="00625C46" w:rsidRPr="00A9116C" w:rsidRDefault="000040C2" w:rsidP="000040C2">
            <w:pPr>
              <w:spacing w:before="0" w:after="0"/>
              <w:contextualSpacing/>
              <w:rPr>
                <w:rFonts w:eastAsia="Calibri" w:cs="Arial"/>
                <w:szCs w:val="22"/>
                <w:lang w:val="ro-RO"/>
              </w:rPr>
            </w:pPr>
            <w:r w:rsidRPr="00A9116C">
              <w:rPr>
                <w:rFonts w:eastAsia="Calibri" w:cs="Arial"/>
                <w:szCs w:val="22"/>
                <w:lang w:val="ro-RO"/>
              </w:rPr>
              <w:t xml:space="preserve">Reabilitarea și extinderea rețelelor rurale și urbane de aprovizionare cu apă în Strășeni și Călărași *)  </w:t>
            </w:r>
          </w:p>
        </w:tc>
        <w:tc>
          <w:tcPr>
            <w:tcW w:w="889" w:type="dxa"/>
            <w:shd w:val="clear" w:color="auto" w:fill="auto"/>
          </w:tcPr>
          <w:p w:rsidR="00625C46" w:rsidRPr="00A9116C" w:rsidRDefault="00625C46" w:rsidP="00912EE4">
            <w:pPr>
              <w:spacing w:before="0" w:after="0"/>
              <w:jc w:val="right"/>
              <w:rPr>
                <w:rFonts w:eastAsia="Calibri" w:cs="Arial"/>
                <w:szCs w:val="22"/>
                <w:lang w:val="ro-RO"/>
              </w:rPr>
            </w:pPr>
            <w:r w:rsidRPr="00A9116C">
              <w:rPr>
                <w:rFonts w:eastAsia="Calibri" w:cs="Arial"/>
                <w:szCs w:val="22"/>
                <w:lang w:val="ro-RO"/>
              </w:rPr>
              <w:t>1,70</w:t>
            </w:r>
          </w:p>
        </w:tc>
        <w:tc>
          <w:tcPr>
            <w:tcW w:w="1414" w:type="dxa"/>
            <w:tcBorders>
              <w:right w:val="dashSmallGap" w:sz="4" w:space="0" w:color="auto"/>
            </w:tcBorders>
            <w:shd w:val="clear" w:color="auto" w:fill="auto"/>
          </w:tcPr>
          <w:p w:rsidR="00625C46" w:rsidRPr="00A9116C" w:rsidRDefault="00625C46" w:rsidP="00912EE4">
            <w:pPr>
              <w:spacing w:before="0" w:after="0"/>
              <w:jc w:val="right"/>
              <w:rPr>
                <w:rFonts w:eastAsia="Calibri" w:cs="Arial"/>
                <w:szCs w:val="22"/>
                <w:lang w:val="ro-RO"/>
              </w:rPr>
            </w:pPr>
            <w:r w:rsidRPr="00A9116C">
              <w:rPr>
                <w:rFonts w:eastAsia="Calibri" w:cs="Arial"/>
                <w:szCs w:val="22"/>
                <w:lang w:val="ro-RO"/>
              </w:rPr>
              <w:t>0,10</w:t>
            </w:r>
          </w:p>
        </w:tc>
        <w:tc>
          <w:tcPr>
            <w:tcW w:w="1585" w:type="dxa"/>
            <w:tcBorders>
              <w:left w:val="dashSmallGap" w:sz="4" w:space="0" w:color="auto"/>
            </w:tcBorders>
            <w:shd w:val="clear" w:color="auto" w:fill="auto"/>
          </w:tcPr>
          <w:p w:rsidR="00625C46" w:rsidRPr="00A9116C" w:rsidRDefault="00625C46" w:rsidP="00912EE4">
            <w:pPr>
              <w:spacing w:before="0" w:after="0"/>
              <w:jc w:val="right"/>
              <w:rPr>
                <w:rFonts w:eastAsia="Calibri" w:cs="Arial"/>
                <w:szCs w:val="22"/>
                <w:lang w:val="ro-RO"/>
              </w:rPr>
            </w:pPr>
            <w:r w:rsidRPr="00A9116C">
              <w:rPr>
                <w:rFonts w:eastAsia="Calibri" w:cs="Arial"/>
                <w:szCs w:val="22"/>
                <w:lang w:val="ro-RO"/>
              </w:rPr>
              <w:t>1,60</w:t>
            </w:r>
          </w:p>
        </w:tc>
      </w:tr>
      <w:tr w:rsidR="00625C46" w:rsidRPr="00A9116C" w:rsidTr="00912EE4">
        <w:trPr>
          <w:trHeight w:val="79"/>
        </w:trPr>
        <w:tc>
          <w:tcPr>
            <w:tcW w:w="4361" w:type="dxa"/>
            <w:shd w:val="clear" w:color="auto" w:fill="auto"/>
          </w:tcPr>
          <w:p w:rsidR="00625C46" w:rsidRPr="00A9116C" w:rsidRDefault="00625C46" w:rsidP="00912EE4">
            <w:pPr>
              <w:spacing w:before="0" w:after="0"/>
              <w:contextualSpacing/>
              <w:rPr>
                <w:rFonts w:eastAsia="Calibri" w:cs="Arial"/>
                <w:szCs w:val="22"/>
                <w:lang w:val="ro-RO"/>
              </w:rPr>
            </w:pPr>
            <w:r w:rsidRPr="00A9116C">
              <w:rPr>
                <w:rFonts w:eastAsia="Calibri" w:cs="Arial"/>
                <w:szCs w:val="22"/>
                <w:lang w:val="ro-RO"/>
              </w:rPr>
              <w:t xml:space="preserve">Consultant </w:t>
            </w:r>
            <w:r w:rsidR="00A85CE5" w:rsidRPr="00A9116C">
              <w:rPr>
                <w:rFonts w:eastAsia="Calibri" w:cs="Arial"/>
                <w:szCs w:val="22"/>
                <w:lang w:val="ro-RO"/>
              </w:rPr>
              <w:t>de Implementare (</w:t>
            </w:r>
            <w:r w:rsidRPr="00A9116C">
              <w:rPr>
                <w:rFonts w:eastAsia="Calibri" w:cs="Arial"/>
                <w:szCs w:val="22"/>
                <w:lang w:val="ro-RO"/>
              </w:rPr>
              <w:t>C</w:t>
            </w:r>
            <w:r w:rsidR="00A85CE5" w:rsidRPr="00A9116C">
              <w:rPr>
                <w:rFonts w:eastAsia="Calibri" w:cs="Arial"/>
                <w:szCs w:val="22"/>
                <w:lang w:val="ro-RO"/>
              </w:rPr>
              <w:t>I</w:t>
            </w:r>
            <w:r w:rsidRPr="00A9116C">
              <w:rPr>
                <w:rFonts w:eastAsia="Calibri" w:cs="Arial"/>
                <w:szCs w:val="22"/>
                <w:lang w:val="ro-RO"/>
              </w:rPr>
              <w:t>)</w:t>
            </w:r>
          </w:p>
        </w:tc>
        <w:tc>
          <w:tcPr>
            <w:tcW w:w="889" w:type="dxa"/>
            <w:shd w:val="clear" w:color="auto" w:fill="auto"/>
          </w:tcPr>
          <w:p w:rsidR="00625C46" w:rsidRPr="00A9116C" w:rsidRDefault="00625C46" w:rsidP="00912EE4">
            <w:pPr>
              <w:spacing w:before="0" w:after="0"/>
              <w:jc w:val="right"/>
              <w:rPr>
                <w:rFonts w:eastAsia="Calibri" w:cs="Arial"/>
                <w:szCs w:val="22"/>
                <w:lang w:val="ro-RO"/>
              </w:rPr>
            </w:pPr>
            <w:r w:rsidRPr="00A9116C">
              <w:rPr>
                <w:rFonts w:eastAsia="Calibri" w:cs="Arial"/>
                <w:szCs w:val="22"/>
                <w:lang w:val="ro-RO"/>
              </w:rPr>
              <w:t>1,70</w:t>
            </w:r>
          </w:p>
        </w:tc>
        <w:tc>
          <w:tcPr>
            <w:tcW w:w="1414" w:type="dxa"/>
            <w:tcBorders>
              <w:right w:val="dashSmallGap" w:sz="4" w:space="0" w:color="auto"/>
            </w:tcBorders>
            <w:shd w:val="clear" w:color="auto" w:fill="auto"/>
          </w:tcPr>
          <w:p w:rsidR="00625C46" w:rsidRPr="00A9116C" w:rsidRDefault="00625C46" w:rsidP="00912EE4">
            <w:pPr>
              <w:spacing w:before="0" w:after="0"/>
              <w:jc w:val="right"/>
              <w:rPr>
                <w:rFonts w:eastAsia="Calibri" w:cs="Arial"/>
                <w:szCs w:val="22"/>
                <w:lang w:val="ro-RO"/>
              </w:rPr>
            </w:pPr>
            <w:r w:rsidRPr="00A9116C">
              <w:rPr>
                <w:rFonts w:eastAsia="Calibri" w:cs="Arial"/>
                <w:szCs w:val="22"/>
                <w:lang w:val="ro-RO"/>
              </w:rPr>
              <w:t>1,70</w:t>
            </w:r>
          </w:p>
        </w:tc>
        <w:tc>
          <w:tcPr>
            <w:tcW w:w="1585" w:type="dxa"/>
            <w:tcBorders>
              <w:left w:val="dashSmallGap" w:sz="4" w:space="0" w:color="auto"/>
            </w:tcBorders>
            <w:shd w:val="clear" w:color="auto" w:fill="auto"/>
          </w:tcPr>
          <w:p w:rsidR="00625C46" w:rsidRPr="00A9116C" w:rsidRDefault="00625C46" w:rsidP="00912EE4">
            <w:pPr>
              <w:spacing w:before="0" w:after="0"/>
              <w:jc w:val="right"/>
              <w:rPr>
                <w:rFonts w:eastAsia="Calibri" w:cs="Arial"/>
                <w:szCs w:val="22"/>
                <w:lang w:val="ro-RO"/>
              </w:rPr>
            </w:pPr>
            <w:r w:rsidRPr="00A9116C">
              <w:rPr>
                <w:rFonts w:eastAsia="Calibri" w:cs="Arial"/>
                <w:szCs w:val="22"/>
                <w:lang w:val="ro-RO"/>
              </w:rPr>
              <w:t>0,00</w:t>
            </w:r>
          </w:p>
        </w:tc>
      </w:tr>
      <w:tr w:rsidR="00625C46" w:rsidRPr="00A9116C" w:rsidTr="00912EE4">
        <w:tc>
          <w:tcPr>
            <w:tcW w:w="4361" w:type="dxa"/>
            <w:shd w:val="clear" w:color="auto" w:fill="auto"/>
          </w:tcPr>
          <w:p w:rsidR="00625C46" w:rsidRPr="00A9116C" w:rsidRDefault="0070251E" w:rsidP="00912EE4">
            <w:pPr>
              <w:spacing w:before="0" w:after="0"/>
              <w:contextualSpacing/>
              <w:rPr>
                <w:rFonts w:eastAsia="Calibri" w:cs="Arial"/>
                <w:szCs w:val="22"/>
                <w:lang w:val="ro-RO"/>
              </w:rPr>
            </w:pPr>
            <w:r w:rsidRPr="00A9116C">
              <w:rPr>
                <w:rFonts w:eastAsia="Calibri" w:cs="Arial"/>
                <w:szCs w:val="22"/>
                <w:lang w:val="ro-RO"/>
              </w:rPr>
              <w:t>Prestarea serviciilor</w:t>
            </w:r>
            <w:r w:rsidR="00A85CE5" w:rsidRPr="00A9116C">
              <w:rPr>
                <w:rFonts w:eastAsia="Calibri" w:cs="Arial"/>
                <w:szCs w:val="22"/>
                <w:lang w:val="ro-RO"/>
              </w:rPr>
              <w:t xml:space="preserve"> CI</w:t>
            </w:r>
          </w:p>
        </w:tc>
        <w:tc>
          <w:tcPr>
            <w:tcW w:w="889" w:type="dxa"/>
            <w:shd w:val="clear" w:color="auto" w:fill="auto"/>
          </w:tcPr>
          <w:p w:rsidR="00625C46" w:rsidRPr="00A9116C" w:rsidRDefault="00625C46" w:rsidP="00912EE4">
            <w:pPr>
              <w:spacing w:before="0" w:after="0"/>
              <w:jc w:val="right"/>
              <w:rPr>
                <w:rFonts w:eastAsia="Calibri" w:cs="Arial"/>
                <w:szCs w:val="22"/>
                <w:lang w:val="ro-RO"/>
              </w:rPr>
            </w:pPr>
            <w:r w:rsidRPr="00A9116C">
              <w:rPr>
                <w:rFonts w:eastAsia="Calibri" w:cs="Arial"/>
                <w:szCs w:val="22"/>
                <w:lang w:val="ro-RO"/>
              </w:rPr>
              <w:t>0,05</w:t>
            </w:r>
          </w:p>
        </w:tc>
        <w:tc>
          <w:tcPr>
            <w:tcW w:w="1414" w:type="dxa"/>
            <w:tcBorders>
              <w:right w:val="dashSmallGap" w:sz="4" w:space="0" w:color="auto"/>
            </w:tcBorders>
            <w:shd w:val="clear" w:color="auto" w:fill="auto"/>
          </w:tcPr>
          <w:p w:rsidR="00625C46" w:rsidRPr="00A9116C" w:rsidRDefault="00625C46" w:rsidP="00912EE4">
            <w:pPr>
              <w:spacing w:before="0" w:after="0"/>
              <w:jc w:val="right"/>
              <w:rPr>
                <w:rFonts w:eastAsia="Calibri" w:cs="Arial"/>
                <w:szCs w:val="22"/>
                <w:lang w:val="ro-RO"/>
              </w:rPr>
            </w:pPr>
            <w:r w:rsidRPr="00A9116C">
              <w:rPr>
                <w:rFonts w:eastAsia="Calibri" w:cs="Arial"/>
                <w:szCs w:val="22"/>
                <w:lang w:val="ro-RO"/>
              </w:rPr>
              <w:t>0</w:t>
            </w:r>
          </w:p>
        </w:tc>
        <w:tc>
          <w:tcPr>
            <w:tcW w:w="1585" w:type="dxa"/>
            <w:tcBorders>
              <w:left w:val="dashSmallGap" w:sz="4" w:space="0" w:color="auto"/>
            </w:tcBorders>
            <w:shd w:val="clear" w:color="auto" w:fill="auto"/>
          </w:tcPr>
          <w:p w:rsidR="00625C46" w:rsidRPr="00A9116C" w:rsidRDefault="00625C46" w:rsidP="00912EE4">
            <w:pPr>
              <w:spacing w:before="0" w:after="0"/>
              <w:jc w:val="right"/>
              <w:rPr>
                <w:rFonts w:eastAsia="Calibri" w:cs="Arial"/>
                <w:szCs w:val="22"/>
                <w:lang w:val="ro-RO"/>
              </w:rPr>
            </w:pPr>
            <w:r w:rsidRPr="00A9116C">
              <w:rPr>
                <w:rFonts w:eastAsia="Calibri" w:cs="Arial"/>
                <w:szCs w:val="22"/>
                <w:lang w:val="ro-RO"/>
              </w:rPr>
              <w:t>0,05</w:t>
            </w:r>
          </w:p>
        </w:tc>
      </w:tr>
      <w:tr w:rsidR="00625C46" w:rsidRPr="00A9116C" w:rsidTr="00912EE4">
        <w:tc>
          <w:tcPr>
            <w:tcW w:w="4361" w:type="dxa"/>
            <w:shd w:val="clear" w:color="auto" w:fill="auto"/>
          </w:tcPr>
          <w:p w:rsidR="00625C46" w:rsidRPr="00A9116C" w:rsidRDefault="0070251E" w:rsidP="0070251E">
            <w:pPr>
              <w:spacing w:before="0" w:after="0"/>
              <w:contextualSpacing/>
              <w:rPr>
                <w:rFonts w:eastAsia="Calibri" w:cs="Arial"/>
                <w:szCs w:val="22"/>
                <w:lang w:val="ro-RO"/>
              </w:rPr>
            </w:pPr>
            <w:r w:rsidRPr="00A9116C">
              <w:rPr>
                <w:rFonts w:eastAsia="Calibri" w:cs="Arial"/>
                <w:szCs w:val="22"/>
                <w:lang w:val="ro-RO"/>
              </w:rPr>
              <w:t>Costuri de gestiune ale</w:t>
            </w:r>
            <w:r w:rsidR="00625C46" w:rsidRPr="00A9116C">
              <w:rPr>
                <w:rFonts w:eastAsia="Calibri" w:cs="Arial"/>
                <w:szCs w:val="22"/>
                <w:lang w:val="ro-RO"/>
              </w:rPr>
              <w:t xml:space="preserve"> </w:t>
            </w:r>
            <w:r w:rsidRPr="00A9116C">
              <w:rPr>
                <w:rFonts w:eastAsia="Calibri" w:cs="Arial"/>
                <w:szCs w:val="22"/>
                <w:lang w:val="ro-RO"/>
              </w:rPr>
              <w:t>ADR Cent</w:t>
            </w:r>
            <w:r w:rsidR="00625C46" w:rsidRPr="00A9116C">
              <w:rPr>
                <w:rFonts w:eastAsia="Calibri" w:cs="Arial"/>
                <w:szCs w:val="22"/>
                <w:lang w:val="ro-RO"/>
              </w:rPr>
              <w:t>r</w:t>
            </w:r>
            <w:r w:rsidRPr="00A9116C">
              <w:rPr>
                <w:rFonts w:eastAsia="Calibri" w:cs="Arial"/>
                <w:szCs w:val="22"/>
                <w:lang w:val="ro-RO"/>
              </w:rPr>
              <w:t>u</w:t>
            </w:r>
          </w:p>
        </w:tc>
        <w:tc>
          <w:tcPr>
            <w:tcW w:w="889" w:type="dxa"/>
            <w:shd w:val="clear" w:color="auto" w:fill="auto"/>
          </w:tcPr>
          <w:p w:rsidR="00625C46" w:rsidRPr="00A9116C" w:rsidRDefault="00625C46" w:rsidP="00912EE4">
            <w:pPr>
              <w:spacing w:before="0" w:after="0"/>
              <w:jc w:val="right"/>
              <w:rPr>
                <w:rFonts w:eastAsia="Calibri" w:cs="Arial"/>
                <w:szCs w:val="22"/>
                <w:lang w:val="ro-RO"/>
              </w:rPr>
            </w:pPr>
            <w:r w:rsidRPr="00A9116C">
              <w:rPr>
                <w:rFonts w:eastAsia="Calibri" w:cs="Arial"/>
                <w:szCs w:val="22"/>
                <w:lang w:val="ro-RO"/>
              </w:rPr>
              <w:t>0,30</w:t>
            </w:r>
          </w:p>
        </w:tc>
        <w:tc>
          <w:tcPr>
            <w:tcW w:w="1414" w:type="dxa"/>
            <w:tcBorders>
              <w:right w:val="dashSmallGap" w:sz="4" w:space="0" w:color="auto"/>
            </w:tcBorders>
            <w:shd w:val="clear" w:color="auto" w:fill="auto"/>
          </w:tcPr>
          <w:p w:rsidR="00625C46" w:rsidRPr="00A9116C" w:rsidRDefault="00625C46" w:rsidP="00912EE4">
            <w:pPr>
              <w:spacing w:before="0" w:after="0"/>
              <w:jc w:val="right"/>
              <w:rPr>
                <w:rFonts w:eastAsia="Calibri" w:cs="Arial"/>
                <w:szCs w:val="22"/>
                <w:lang w:val="ro-RO"/>
              </w:rPr>
            </w:pPr>
            <w:r w:rsidRPr="00A9116C">
              <w:rPr>
                <w:rFonts w:eastAsia="Calibri" w:cs="Arial"/>
                <w:szCs w:val="22"/>
                <w:lang w:val="ro-RO"/>
              </w:rPr>
              <w:t>0</w:t>
            </w:r>
          </w:p>
        </w:tc>
        <w:tc>
          <w:tcPr>
            <w:tcW w:w="1585" w:type="dxa"/>
            <w:tcBorders>
              <w:left w:val="dashSmallGap" w:sz="4" w:space="0" w:color="auto"/>
            </w:tcBorders>
            <w:shd w:val="clear" w:color="auto" w:fill="auto"/>
          </w:tcPr>
          <w:p w:rsidR="00625C46" w:rsidRPr="00A9116C" w:rsidRDefault="00625C46" w:rsidP="00912EE4">
            <w:pPr>
              <w:spacing w:before="0" w:after="0"/>
              <w:jc w:val="right"/>
              <w:rPr>
                <w:rFonts w:eastAsia="Calibri" w:cs="Arial"/>
                <w:szCs w:val="22"/>
                <w:lang w:val="ro-RO"/>
              </w:rPr>
            </w:pPr>
            <w:r w:rsidRPr="00A9116C">
              <w:rPr>
                <w:rFonts w:eastAsia="Calibri" w:cs="Arial"/>
                <w:szCs w:val="22"/>
                <w:lang w:val="ro-RO"/>
              </w:rPr>
              <w:t>0,30</w:t>
            </w:r>
          </w:p>
        </w:tc>
      </w:tr>
      <w:tr w:rsidR="00625C46" w:rsidRPr="00A9116C" w:rsidTr="00912EE4">
        <w:tc>
          <w:tcPr>
            <w:tcW w:w="4361" w:type="dxa"/>
            <w:shd w:val="clear" w:color="auto" w:fill="auto"/>
          </w:tcPr>
          <w:p w:rsidR="00625C46" w:rsidRPr="00A9116C" w:rsidRDefault="0070251E" w:rsidP="00912EE4">
            <w:pPr>
              <w:spacing w:before="0" w:after="0"/>
              <w:contextualSpacing/>
              <w:rPr>
                <w:rFonts w:eastAsia="Calibri" w:cs="Arial"/>
                <w:szCs w:val="22"/>
                <w:lang w:val="ro-RO"/>
              </w:rPr>
            </w:pPr>
            <w:r w:rsidRPr="00A9116C">
              <w:rPr>
                <w:rFonts w:eastAsia="Calibri" w:cs="Arial"/>
                <w:szCs w:val="22"/>
                <w:lang w:val="ro-RO"/>
              </w:rPr>
              <w:t xml:space="preserve">Cheltuieli neprevăzute </w:t>
            </w:r>
          </w:p>
        </w:tc>
        <w:tc>
          <w:tcPr>
            <w:tcW w:w="889" w:type="dxa"/>
            <w:shd w:val="clear" w:color="auto" w:fill="auto"/>
          </w:tcPr>
          <w:p w:rsidR="00625C46" w:rsidRPr="00A9116C" w:rsidRDefault="00625C46" w:rsidP="00912EE4">
            <w:pPr>
              <w:spacing w:before="0" w:after="0"/>
              <w:jc w:val="right"/>
              <w:rPr>
                <w:rFonts w:eastAsia="Calibri" w:cs="Arial"/>
                <w:szCs w:val="22"/>
                <w:lang w:val="ro-RO"/>
              </w:rPr>
            </w:pPr>
            <w:r w:rsidRPr="00A9116C">
              <w:rPr>
                <w:rFonts w:eastAsia="Calibri" w:cs="Arial"/>
                <w:szCs w:val="22"/>
                <w:lang w:val="ro-RO"/>
              </w:rPr>
              <w:t>0,80</w:t>
            </w:r>
          </w:p>
        </w:tc>
        <w:tc>
          <w:tcPr>
            <w:tcW w:w="1414" w:type="dxa"/>
            <w:tcBorders>
              <w:right w:val="dashSmallGap" w:sz="4" w:space="0" w:color="auto"/>
            </w:tcBorders>
            <w:shd w:val="clear" w:color="auto" w:fill="auto"/>
          </w:tcPr>
          <w:p w:rsidR="00625C46" w:rsidRPr="00A9116C" w:rsidRDefault="00625C46" w:rsidP="00912EE4">
            <w:pPr>
              <w:spacing w:before="0" w:after="0"/>
              <w:jc w:val="right"/>
              <w:rPr>
                <w:rFonts w:eastAsia="Calibri" w:cs="Arial"/>
                <w:szCs w:val="22"/>
                <w:lang w:val="ro-RO"/>
              </w:rPr>
            </w:pPr>
            <w:r w:rsidRPr="00A9116C">
              <w:rPr>
                <w:rFonts w:eastAsia="Calibri" w:cs="Arial"/>
                <w:szCs w:val="22"/>
                <w:lang w:val="ro-RO"/>
              </w:rPr>
              <w:t>0,80</w:t>
            </w:r>
          </w:p>
        </w:tc>
        <w:tc>
          <w:tcPr>
            <w:tcW w:w="1585" w:type="dxa"/>
            <w:tcBorders>
              <w:left w:val="dashSmallGap" w:sz="4" w:space="0" w:color="auto"/>
            </w:tcBorders>
            <w:shd w:val="clear" w:color="auto" w:fill="auto"/>
          </w:tcPr>
          <w:p w:rsidR="00625C46" w:rsidRPr="00A9116C" w:rsidRDefault="00625C46" w:rsidP="00912EE4">
            <w:pPr>
              <w:spacing w:before="0" w:after="0"/>
              <w:jc w:val="right"/>
              <w:rPr>
                <w:rFonts w:eastAsia="Calibri" w:cs="Arial"/>
                <w:szCs w:val="22"/>
                <w:lang w:val="ro-RO"/>
              </w:rPr>
            </w:pPr>
            <w:r w:rsidRPr="00A9116C">
              <w:rPr>
                <w:rFonts w:eastAsia="Calibri" w:cs="Arial"/>
                <w:szCs w:val="22"/>
                <w:lang w:val="ro-RO"/>
              </w:rPr>
              <w:t>0,00</w:t>
            </w:r>
          </w:p>
        </w:tc>
      </w:tr>
      <w:tr w:rsidR="00625C46" w:rsidRPr="00A9116C" w:rsidTr="00912EE4">
        <w:tc>
          <w:tcPr>
            <w:tcW w:w="4361" w:type="dxa"/>
            <w:shd w:val="clear" w:color="auto" w:fill="auto"/>
          </w:tcPr>
          <w:p w:rsidR="00625C46" w:rsidRPr="00A9116C" w:rsidRDefault="0070251E" w:rsidP="00912EE4">
            <w:pPr>
              <w:spacing w:before="0" w:after="0"/>
              <w:rPr>
                <w:rFonts w:eastAsia="Calibri" w:cs="Arial"/>
                <w:b/>
                <w:szCs w:val="22"/>
                <w:lang w:val="ro-RO"/>
              </w:rPr>
            </w:pPr>
            <w:r w:rsidRPr="00A9116C">
              <w:rPr>
                <w:rFonts w:eastAsia="Calibri" w:cs="Arial"/>
                <w:b/>
                <w:szCs w:val="22"/>
                <w:lang w:val="ro-RO"/>
              </w:rPr>
              <w:t xml:space="preserve">Costul și bugetul total, inclusiv contribuția proprie a Partenerului din Moldova </w:t>
            </w:r>
          </w:p>
        </w:tc>
        <w:tc>
          <w:tcPr>
            <w:tcW w:w="889" w:type="dxa"/>
            <w:shd w:val="clear" w:color="auto" w:fill="auto"/>
          </w:tcPr>
          <w:p w:rsidR="00625C46" w:rsidRPr="00A9116C" w:rsidRDefault="00625C46" w:rsidP="00912EE4">
            <w:pPr>
              <w:spacing w:before="0" w:after="0"/>
              <w:jc w:val="right"/>
              <w:rPr>
                <w:rFonts w:eastAsia="Calibri" w:cs="Arial"/>
                <w:b/>
                <w:szCs w:val="22"/>
                <w:lang w:val="ro-RO"/>
              </w:rPr>
            </w:pPr>
            <w:r w:rsidRPr="00A9116C">
              <w:rPr>
                <w:rFonts w:eastAsia="Calibri" w:cs="Arial"/>
                <w:b/>
                <w:szCs w:val="22"/>
                <w:lang w:val="ro-RO"/>
              </w:rPr>
              <w:t>16,95</w:t>
            </w:r>
          </w:p>
        </w:tc>
        <w:tc>
          <w:tcPr>
            <w:tcW w:w="1414" w:type="dxa"/>
            <w:tcBorders>
              <w:right w:val="dashSmallGap" w:sz="4" w:space="0" w:color="auto"/>
            </w:tcBorders>
            <w:shd w:val="clear" w:color="auto" w:fill="auto"/>
          </w:tcPr>
          <w:p w:rsidR="00625C46" w:rsidRPr="00A9116C" w:rsidRDefault="00625C46" w:rsidP="00912EE4">
            <w:pPr>
              <w:spacing w:before="0" w:after="0"/>
              <w:jc w:val="right"/>
              <w:rPr>
                <w:rFonts w:eastAsia="Calibri" w:cs="Arial"/>
                <w:b/>
                <w:szCs w:val="22"/>
                <w:lang w:val="ro-RO"/>
              </w:rPr>
            </w:pPr>
            <w:r w:rsidRPr="00A9116C">
              <w:rPr>
                <w:rFonts w:eastAsia="Calibri" w:cs="Arial"/>
                <w:b/>
                <w:szCs w:val="22"/>
                <w:lang w:val="ro-RO"/>
              </w:rPr>
              <w:t>15,00</w:t>
            </w:r>
          </w:p>
        </w:tc>
        <w:tc>
          <w:tcPr>
            <w:tcW w:w="1585" w:type="dxa"/>
            <w:tcBorders>
              <w:left w:val="dashSmallGap" w:sz="4" w:space="0" w:color="auto"/>
            </w:tcBorders>
            <w:shd w:val="clear" w:color="auto" w:fill="auto"/>
          </w:tcPr>
          <w:p w:rsidR="00625C46" w:rsidRPr="00A9116C" w:rsidRDefault="00625C46" w:rsidP="00912EE4">
            <w:pPr>
              <w:spacing w:before="0" w:after="0"/>
              <w:jc w:val="right"/>
              <w:rPr>
                <w:rFonts w:eastAsia="Calibri" w:cs="Arial"/>
                <w:b/>
                <w:szCs w:val="22"/>
                <w:lang w:val="ro-RO"/>
              </w:rPr>
            </w:pPr>
            <w:r w:rsidRPr="00A9116C">
              <w:rPr>
                <w:rFonts w:eastAsia="Calibri" w:cs="Arial"/>
                <w:b/>
                <w:szCs w:val="22"/>
                <w:lang w:val="ro-RO"/>
              </w:rPr>
              <w:t>1,95</w:t>
            </w:r>
          </w:p>
        </w:tc>
      </w:tr>
      <w:tr w:rsidR="00625C46" w:rsidRPr="00A9116C" w:rsidTr="00912EE4">
        <w:tc>
          <w:tcPr>
            <w:tcW w:w="8249" w:type="dxa"/>
            <w:gridSpan w:val="4"/>
            <w:shd w:val="clear" w:color="auto" w:fill="auto"/>
          </w:tcPr>
          <w:p w:rsidR="00625C46" w:rsidRPr="00A9116C" w:rsidRDefault="00625C46" w:rsidP="006A2619">
            <w:pPr>
              <w:spacing w:before="0" w:after="0"/>
              <w:jc w:val="left"/>
              <w:rPr>
                <w:rFonts w:eastAsia="Calibri" w:cs="Arial"/>
                <w:b/>
                <w:i/>
                <w:sz w:val="20"/>
                <w:lang w:val="ro-RO"/>
              </w:rPr>
            </w:pPr>
            <w:r w:rsidRPr="00A9116C">
              <w:rPr>
                <w:rFonts w:eastAsia="Calibri" w:cs="Arial"/>
                <w:i/>
                <w:sz w:val="20"/>
                <w:lang w:val="ro-RO"/>
              </w:rPr>
              <w:t xml:space="preserve">*) </w:t>
            </w:r>
            <w:r w:rsidR="00177163" w:rsidRPr="00A9116C">
              <w:rPr>
                <w:rFonts w:eastAsia="Calibri" w:cs="Arial"/>
                <w:i/>
                <w:sz w:val="20"/>
                <w:lang w:val="ro-RO"/>
              </w:rPr>
              <w:t>Drepturi și taxe de import neacoperite din fondurile KfW. Dacă există drepturi sau taxe de import aferente Proiectului</w:t>
            </w:r>
            <w:r w:rsidR="006A2619" w:rsidRPr="00A9116C">
              <w:rPr>
                <w:rFonts w:eastAsia="Calibri" w:cs="Arial"/>
                <w:i/>
                <w:sz w:val="20"/>
                <w:lang w:val="ro-RO"/>
              </w:rPr>
              <w:t xml:space="preserve">, aceste costuri vor fi acoperite de Partenerul din Moldova.  </w:t>
            </w:r>
          </w:p>
        </w:tc>
      </w:tr>
    </w:tbl>
    <w:p w:rsidR="00625C46" w:rsidRPr="00A9116C" w:rsidRDefault="00625C46" w:rsidP="00625C46">
      <w:pPr>
        <w:rPr>
          <w:lang w:val="ro-RO"/>
        </w:rPr>
      </w:pPr>
    </w:p>
    <w:p w:rsidR="00625C46" w:rsidRPr="00A9116C" w:rsidRDefault="00625C46" w:rsidP="00625C46">
      <w:pPr>
        <w:spacing w:before="0" w:after="0" w:line="240" w:lineRule="auto"/>
        <w:jc w:val="left"/>
        <w:rPr>
          <w:lang w:val="ro-RO"/>
        </w:rPr>
      </w:pPr>
    </w:p>
    <w:p w:rsidR="00625C46" w:rsidRPr="00A9116C" w:rsidRDefault="00625C46" w:rsidP="00625C46">
      <w:pPr>
        <w:spacing w:before="0" w:after="0" w:line="240" w:lineRule="auto"/>
        <w:jc w:val="left"/>
        <w:rPr>
          <w:lang w:val="ro-RO"/>
        </w:rPr>
      </w:pPr>
    </w:p>
    <w:p w:rsidR="00625C46" w:rsidRPr="00A9116C" w:rsidRDefault="00625C46" w:rsidP="00625C46">
      <w:pPr>
        <w:spacing w:before="0" w:after="0" w:line="240" w:lineRule="auto"/>
        <w:jc w:val="left"/>
        <w:rPr>
          <w:lang w:val="ro-RO"/>
        </w:rPr>
        <w:sectPr w:rsidR="00625C46" w:rsidRPr="00A9116C" w:rsidSect="00912EE4">
          <w:headerReference w:type="default" r:id="rId7"/>
          <w:footerReference w:type="default" r:id="rId8"/>
          <w:footerReference w:type="first" r:id="rId9"/>
          <w:pgSz w:w="11906" w:h="16838" w:code="9"/>
          <w:pgMar w:top="1134" w:right="1418" w:bottom="1134" w:left="1701" w:header="851" w:footer="851" w:gutter="0"/>
          <w:pgNumType w:start="1"/>
          <w:cols w:space="720"/>
          <w:titlePg/>
          <w:docGrid w:linePitch="326"/>
        </w:sectPr>
      </w:pPr>
    </w:p>
    <w:p w:rsidR="00625C46" w:rsidRPr="00A9116C" w:rsidRDefault="00625C46" w:rsidP="00625C46">
      <w:pPr>
        <w:spacing w:before="0" w:after="0" w:line="240" w:lineRule="auto"/>
        <w:jc w:val="center"/>
        <w:rPr>
          <w:rFonts w:ascii="Arial Fett" w:hAnsi="Arial Fett" w:cs="Arial"/>
          <w:b/>
          <w:vanish/>
          <w:szCs w:val="22"/>
          <w:lang w:val="ro-RO"/>
        </w:rPr>
      </w:pPr>
    </w:p>
    <w:p w:rsidR="00625C46" w:rsidRPr="00A9116C" w:rsidRDefault="00625C46" w:rsidP="00625C46">
      <w:pPr>
        <w:spacing w:before="0" w:after="0" w:line="240" w:lineRule="auto"/>
        <w:jc w:val="right"/>
        <w:rPr>
          <w:rFonts w:ascii="Arial Fett" w:hAnsi="Arial Fett" w:cs="Arial"/>
          <w:b/>
          <w:vanish/>
          <w:szCs w:val="22"/>
          <w:lang w:val="ro-RO"/>
        </w:rPr>
      </w:pPr>
    </w:p>
    <w:p w:rsidR="00625C46" w:rsidRPr="00A9116C" w:rsidRDefault="006A2619" w:rsidP="00625C46">
      <w:pPr>
        <w:spacing w:before="0" w:after="0" w:line="240" w:lineRule="auto"/>
        <w:jc w:val="right"/>
        <w:rPr>
          <w:rFonts w:cs="Arial"/>
          <w:szCs w:val="22"/>
          <w:u w:val="single"/>
          <w:lang w:val="ro-RO"/>
        </w:rPr>
      </w:pPr>
      <w:r w:rsidRPr="00A9116C">
        <w:rPr>
          <w:rFonts w:cs="Arial"/>
          <w:szCs w:val="22"/>
          <w:u w:val="single"/>
          <w:lang w:val="ro-RO"/>
        </w:rPr>
        <w:t>An</w:t>
      </w:r>
      <w:r w:rsidR="00625C46" w:rsidRPr="00A9116C">
        <w:rPr>
          <w:rFonts w:cs="Arial"/>
          <w:szCs w:val="22"/>
          <w:u w:val="single"/>
          <w:lang w:val="ro-RO"/>
        </w:rPr>
        <w:t>ex</w:t>
      </w:r>
      <w:r w:rsidRPr="00A9116C">
        <w:rPr>
          <w:rFonts w:cs="Arial"/>
          <w:szCs w:val="22"/>
          <w:u w:val="single"/>
          <w:lang w:val="ro-RO"/>
        </w:rPr>
        <w:t>a</w:t>
      </w:r>
      <w:r w:rsidR="00625C46" w:rsidRPr="00A9116C">
        <w:rPr>
          <w:rFonts w:cs="Arial"/>
          <w:szCs w:val="22"/>
          <w:u w:val="single"/>
          <w:lang w:val="ro-RO"/>
        </w:rPr>
        <w:t xml:space="preserve"> 6</w:t>
      </w:r>
    </w:p>
    <w:p w:rsidR="00625C46" w:rsidRPr="00A9116C" w:rsidRDefault="006A2619" w:rsidP="00625C46">
      <w:pPr>
        <w:spacing w:before="0" w:after="0" w:line="240" w:lineRule="auto"/>
        <w:jc w:val="center"/>
        <w:rPr>
          <w:rFonts w:eastAsiaTheme="minorHAnsi" w:cstheme="minorBidi"/>
          <w:b/>
          <w:sz w:val="21"/>
          <w:szCs w:val="22"/>
          <w:lang w:val="ro-RO"/>
        </w:rPr>
      </w:pPr>
      <w:r w:rsidRPr="00A9116C">
        <w:rPr>
          <w:rFonts w:eastAsiaTheme="minorHAnsi" w:cstheme="minorBidi"/>
          <w:b/>
          <w:sz w:val="21"/>
          <w:szCs w:val="22"/>
          <w:lang w:val="ro-RO"/>
        </w:rPr>
        <w:t>Plan de Achiziții</w:t>
      </w:r>
    </w:p>
    <w:p w:rsidR="00625C46" w:rsidRPr="00A9116C" w:rsidRDefault="00625C46" w:rsidP="00625C46">
      <w:pPr>
        <w:spacing w:before="0" w:after="0" w:line="240" w:lineRule="auto"/>
        <w:jc w:val="center"/>
        <w:rPr>
          <w:rFonts w:eastAsiaTheme="minorHAnsi" w:cstheme="minorBidi"/>
          <w:sz w:val="20"/>
          <w:lang w:val="ro-RO"/>
        </w:rPr>
      </w:pPr>
      <w:r w:rsidRPr="00A9116C">
        <w:rPr>
          <w:rFonts w:eastAsiaTheme="minorHAnsi" w:cstheme="minorBidi"/>
          <w:sz w:val="21"/>
          <w:szCs w:val="22"/>
          <w:lang w:val="ro-RO"/>
        </w:rPr>
        <w:t>(</w:t>
      </w:r>
      <w:r w:rsidR="006A2619" w:rsidRPr="00A9116C">
        <w:rPr>
          <w:rFonts w:eastAsiaTheme="minorHAnsi" w:cstheme="minorBidi"/>
          <w:sz w:val="20"/>
          <w:lang w:val="ro-RO"/>
        </w:rPr>
        <w:t>Versiunea Nr. ____ din</w:t>
      </w:r>
      <w:r w:rsidRPr="00A9116C">
        <w:rPr>
          <w:rFonts w:eastAsiaTheme="minorHAnsi" w:cstheme="minorBidi"/>
          <w:sz w:val="20"/>
          <w:lang w:val="ro-RO"/>
        </w:rPr>
        <w:t xml:space="preserve"> ________)</w:t>
      </w:r>
    </w:p>
    <w:tbl>
      <w:tblPr>
        <w:tblW w:w="15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
        <w:gridCol w:w="992"/>
        <w:gridCol w:w="425"/>
        <w:gridCol w:w="2693"/>
        <w:gridCol w:w="1843"/>
        <w:gridCol w:w="1459"/>
        <w:gridCol w:w="708"/>
        <w:gridCol w:w="709"/>
        <w:gridCol w:w="709"/>
        <w:gridCol w:w="709"/>
        <w:gridCol w:w="708"/>
        <w:gridCol w:w="1276"/>
        <w:gridCol w:w="2552"/>
      </w:tblGrid>
      <w:tr w:rsidR="00625C46" w:rsidRPr="00A9116C" w:rsidTr="00912EE4">
        <w:trPr>
          <w:cantSplit/>
          <w:trHeight w:val="1630"/>
          <w:jc w:val="center"/>
        </w:trPr>
        <w:tc>
          <w:tcPr>
            <w:tcW w:w="404" w:type="dxa"/>
            <w:textDirection w:val="tbRl"/>
            <w:vAlign w:val="center"/>
          </w:tcPr>
          <w:p w:rsidR="00625C46" w:rsidRPr="00A9116C" w:rsidRDefault="006A4109" w:rsidP="00912EE4">
            <w:pPr>
              <w:spacing w:before="0" w:after="0" w:line="240" w:lineRule="auto"/>
              <w:ind w:left="113" w:right="113"/>
              <w:jc w:val="center"/>
              <w:rPr>
                <w:rFonts w:eastAsiaTheme="minorHAnsi" w:cstheme="minorBidi"/>
                <w:b/>
                <w:bCs/>
                <w:sz w:val="21"/>
                <w:szCs w:val="21"/>
                <w:lang w:val="ro-RO"/>
              </w:rPr>
            </w:pPr>
            <w:r w:rsidRPr="00A9116C">
              <w:rPr>
                <w:rFonts w:eastAsiaTheme="minorHAnsi" w:cstheme="minorBidi"/>
                <w:b/>
                <w:bCs/>
                <w:sz w:val="21"/>
                <w:szCs w:val="21"/>
                <w:lang w:val="ro-RO"/>
              </w:rPr>
              <w:t>Seria Nr</w:t>
            </w:r>
            <w:r w:rsidR="00625C46" w:rsidRPr="00A9116C">
              <w:rPr>
                <w:rFonts w:eastAsiaTheme="minorHAnsi" w:cstheme="minorBidi"/>
                <w:b/>
                <w:bCs/>
                <w:sz w:val="21"/>
                <w:szCs w:val="21"/>
                <w:lang w:val="ro-RO"/>
              </w:rPr>
              <w:t>.</w:t>
            </w:r>
          </w:p>
        </w:tc>
        <w:tc>
          <w:tcPr>
            <w:tcW w:w="992" w:type="dxa"/>
            <w:textDirection w:val="tbRl"/>
          </w:tcPr>
          <w:p w:rsidR="00625C46" w:rsidRPr="00A9116C" w:rsidRDefault="006A4109" w:rsidP="00912EE4">
            <w:pPr>
              <w:spacing w:before="0" w:after="0" w:line="240" w:lineRule="auto"/>
              <w:ind w:left="113" w:right="113"/>
              <w:jc w:val="center"/>
              <w:rPr>
                <w:rFonts w:eastAsiaTheme="minorHAnsi" w:cstheme="minorBidi"/>
                <w:b/>
                <w:bCs/>
                <w:sz w:val="21"/>
                <w:szCs w:val="21"/>
                <w:lang w:val="ro-RO"/>
              </w:rPr>
            </w:pPr>
            <w:r w:rsidRPr="00A9116C">
              <w:rPr>
                <w:rFonts w:eastAsiaTheme="minorHAnsi" w:cstheme="minorBidi"/>
                <w:b/>
                <w:bCs/>
                <w:sz w:val="21"/>
                <w:szCs w:val="21"/>
                <w:lang w:val="ro-RO"/>
              </w:rPr>
              <w:t>Achiziția Nr</w:t>
            </w:r>
            <w:r w:rsidR="00625C46" w:rsidRPr="00A9116C">
              <w:rPr>
                <w:rFonts w:eastAsiaTheme="minorHAnsi" w:cstheme="minorBidi"/>
                <w:b/>
                <w:bCs/>
                <w:sz w:val="21"/>
                <w:szCs w:val="21"/>
                <w:lang w:val="ro-RO"/>
              </w:rPr>
              <w:t>.</w:t>
            </w:r>
          </w:p>
        </w:tc>
        <w:tc>
          <w:tcPr>
            <w:tcW w:w="425" w:type="dxa"/>
            <w:textDirection w:val="tbRl"/>
            <w:vAlign w:val="center"/>
          </w:tcPr>
          <w:p w:rsidR="00625C46" w:rsidRPr="00A9116C" w:rsidRDefault="006A4109" w:rsidP="00912EE4">
            <w:pPr>
              <w:spacing w:before="0" w:after="0" w:line="240" w:lineRule="auto"/>
              <w:ind w:left="113" w:right="113"/>
              <w:jc w:val="center"/>
              <w:rPr>
                <w:rFonts w:eastAsiaTheme="minorHAnsi" w:cstheme="minorBidi"/>
                <w:b/>
                <w:bCs/>
                <w:sz w:val="21"/>
                <w:szCs w:val="21"/>
                <w:lang w:val="ro-RO"/>
              </w:rPr>
            </w:pPr>
            <w:r w:rsidRPr="00A9116C">
              <w:rPr>
                <w:rFonts w:eastAsiaTheme="minorHAnsi" w:cstheme="minorBidi"/>
                <w:b/>
                <w:bCs/>
                <w:sz w:val="21"/>
                <w:szCs w:val="21"/>
                <w:lang w:val="ro-RO"/>
              </w:rPr>
              <w:t>Tipul</w:t>
            </w:r>
          </w:p>
        </w:tc>
        <w:tc>
          <w:tcPr>
            <w:tcW w:w="2693" w:type="dxa"/>
            <w:shd w:val="clear" w:color="auto" w:fill="auto"/>
            <w:textDirection w:val="tbRl"/>
            <w:vAlign w:val="center"/>
          </w:tcPr>
          <w:p w:rsidR="00625C46" w:rsidRPr="00A9116C" w:rsidRDefault="006A4109" w:rsidP="006A4109">
            <w:pPr>
              <w:spacing w:before="0" w:after="0" w:line="240" w:lineRule="auto"/>
              <w:ind w:left="113" w:right="113"/>
              <w:jc w:val="center"/>
              <w:rPr>
                <w:rFonts w:eastAsiaTheme="minorHAnsi" w:cstheme="minorBidi"/>
                <w:b/>
                <w:bCs/>
                <w:sz w:val="21"/>
                <w:szCs w:val="21"/>
                <w:lang w:val="ro-RO"/>
              </w:rPr>
            </w:pPr>
            <w:r w:rsidRPr="00A9116C">
              <w:rPr>
                <w:rFonts w:eastAsiaTheme="minorHAnsi" w:cstheme="minorBidi"/>
                <w:b/>
                <w:bCs/>
                <w:sz w:val="21"/>
                <w:szCs w:val="21"/>
                <w:lang w:val="ro-RO"/>
              </w:rPr>
              <w:t xml:space="preserve">Descriere Succintă a Conținutului Contractului </w:t>
            </w:r>
          </w:p>
        </w:tc>
        <w:tc>
          <w:tcPr>
            <w:tcW w:w="1843" w:type="dxa"/>
            <w:textDirection w:val="tbRl"/>
            <w:vAlign w:val="center"/>
          </w:tcPr>
          <w:p w:rsidR="00625C46" w:rsidRPr="00A9116C" w:rsidRDefault="00031CFE" w:rsidP="00912EE4">
            <w:pPr>
              <w:spacing w:before="0" w:after="0" w:line="240" w:lineRule="auto"/>
              <w:ind w:left="113" w:right="113"/>
              <w:jc w:val="center"/>
              <w:rPr>
                <w:rFonts w:eastAsiaTheme="minorHAnsi" w:cstheme="minorBidi"/>
                <w:b/>
                <w:bCs/>
                <w:sz w:val="21"/>
                <w:szCs w:val="21"/>
                <w:lang w:val="ro-RO"/>
              </w:rPr>
            </w:pPr>
            <w:r w:rsidRPr="00A9116C">
              <w:rPr>
                <w:rFonts w:eastAsiaTheme="minorHAnsi" w:cstheme="minorBidi"/>
                <w:b/>
                <w:bCs/>
                <w:sz w:val="21"/>
                <w:szCs w:val="21"/>
                <w:lang w:val="ro-RO"/>
              </w:rPr>
              <w:t xml:space="preserve">Valoarea Estimativă a Contractului </w:t>
            </w:r>
          </w:p>
        </w:tc>
        <w:tc>
          <w:tcPr>
            <w:tcW w:w="1459" w:type="dxa"/>
            <w:textDirection w:val="tbRl"/>
            <w:vAlign w:val="center"/>
          </w:tcPr>
          <w:p w:rsidR="00625C46" w:rsidRPr="00A9116C" w:rsidRDefault="00031CFE" w:rsidP="00912EE4">
            <w:pPr>
              <w:spacing w:before="0" w:after="0" w:line="240" w:lineRule="auto"/>
              <w:ind w:left="-85" w:right="-75"/>
              <w:jc w:val="center"/>
              <w:rPr>
                <w:rFonts w:eastAsiaTheme="minorHAnsi" w:cstheme="minorBidi"/>
                <w:b/>
                <w:bCs/>
                <w:sz w:val="21"/>
                <w:szCs w:val="21"/>
                <w:lang w:val="ro-RO"/>
              </w:rPr>
            </w:pPr>
            <w:r w:rsidRPr="00A9116C">
              <w:rPr>
                <w:rFonts w:eastAsiaTheme="minorHAnsi" w:cstheme="minorBidi"/>
                <w:b/>
                <w:bCs/>
                <w:sz w:val="21"/>
                <w:szCs w:val="21"/>
                <w:lang w:val="ro-RO"/>
              </w:rPr>
              <w:t>Sursa de Finanțare</w:t>
            </w:r>
          </w:p>
        </w:tc>
        <w:tc>
          <w:tcPr>
            <w:tcW w:w="708" w:type="dxa"/>
            <w:textDirection w:val="tbRl"/>
            <w:vAlign w:val="center"/>
          </w:tcPr>
          <w:p w:rsidR="00625C46" w:rsidRPr="00A9116C" w:rsidRDefault="00031CFE" w:rsidP="00912EE4">
            <w:pPr>
              <w:spacing w:before="0" w:after="0" w:line="240" w:lineRule="auto"/>
              <w:ind w:left="-85" w:right="-75"/>
              <w:jc w:val="center"/>
              <w:rPr>
                <w:rFonts w:eastAsiaTheme="minorHAnsi" w:cstheme="minorBidi"/>
                <w:b/>
                <w:bCs/>
                <w:sz w:val="21"/>
                <w:szCs w:val="21"/>
                <w:lang w:val="ro-RO"/>
              </w:rPr>
            </w:pPr>
            <w:r w:rsidRPr="00A9116C">
              <w:rPr>
                <w:rFonts w:eastAsiaTheme="minorHAnsi" w:cstheme="minorBidi"/>
                <w:b/>
                <w:bCs/>
                <w:sz w:val="21"/>
                <w:szCs w:val="21"/>
                <w:lang w:val="ro-RO"/>
              </w:rPr>
              <w:t>Procedura de Licitație</w:t>
            </w:r>
          </w:p>
        </w:tc>
        <w:tc>
          <w:tcPr>
            <w:tcW w:w="709" w:type="dxa"/>
            <w:textDirection w:val="tbRl"/>
            <w:vAlign w:val="center"/>
          </w:tcPr>
          <w:p w:rsidR="00625C46" w:rsidRPr="00A9116C" w:rsidRDefault="00031CFE" w:rsidP="00912EE4">
            <w:pPr>
              <w:spacing w:before="0" w:after="0" w:line="240" w:lineRule="auto"/>
              <w:ind w:left="-142" w:right="-108"/>
              <w:jc w:val="center"/>
              <w:rPr>
                <w:rFonts w:eastAsiaTheme="minorHAnsi" w:cstheme="minorBidi"/>
                <w:b/>
                <w:bCs/>
                <w:sz w:val="21"/>
                <w:szCs w:val="21"/>
                <w:lang w:val="ro-RO"/>
              </w:rPr>
            </w:pPr>
            <w:r w:rsidRPr="00A9116C">
              <w:rPr>
                <w:rFonts w:eastAsiaTheme="minorHAnsi" w:cstheme="minorBidi"/>
                <w:b/>
                <w:bCs/>
                <w:sz w:val="21"/>
                <w:szCs w:val="21"/>
                <w:lang w:val="ro-RO"/>
              </w:rPr>
              <w:t>Etape</w:t>
            </w:r>
          </w:p>
        </w:tc>
        <w:tc>
          <w:tcPr>
            <w:tcW w:w="709" w:type="dxa"/>
            <w:textDirection w:val="tbRl"/>
            <w:vAlign w:val="center"/>
          </w:tcPr>
          <w:p w:rsidR="00625C46" w:rsidRPr="00A9116C" w:rsidRDefault="00031CFE" w:rsidP="00912EE4">
            <w:pPr>
              <w:spacing w:before="0" w:after="0" w:line="240" w:lineRule="auto"/>
              <w:ind w:left="-142" w:right="-108"/>
              <w:jc w:val="center"/>
              <w:rPr>
                <w:rFonts w:eastAsiaTheme="minorHAnsi" w:cstheme="minorBidi"/>
                <w:b/>
                <w:bCs/>
                <w:sz w:val="21"/>
                <w:szCs w:val="21"/>
                <w:lang w:val="ro-RO"/>
              </w:rPr>
            </w:pPr>
            <w:r w:rsidRPr="00A9116C">
              <w:rPr>
                <w:rFonts w:eastAsiaTheme="minorHAnsi" w:cstheme="minorBidi"/>
                <w:b/>
                <w:bCs/>
                <w:sz w:val="21"/>
                <w:szCs w:val="21"/>
                <w:lang w:val="ro-RO"/>
              </w:rPr>
              <w:t>Documente de Licitație</w:t>
            </w:r>
          </w:p>
        </w:tc>
        <w:tc>
          <w:tcPr>
            <w:tcW w:w="709" w:type="dxa"/>
            <w:textDirection w:val="tbRl"/>
            <w:vAlign w:val="center"/>
          </w:tcPr>
          <w:p w:rsidR="00625C46" w:rsidRPr="00A9116C" w:rsidRDefault="00031CFE" w:rsidP="00912EE4">
            <w:pPr>
              <w:spacing w:before="0" w:after="0" w:line="240" w:lineRule="auto"/>
              <w:ind w:left="-142" w:right="-108"/>
              <w:jc w:val="center"/>
              <w:rPr>
                <w:rFonts w:eastAsiaTheme="minorHAnsi" w:cstheme="minorBidi"/>
                <w:b/>
                <w:bCs/>
                <w:i/>
                <w:sz w:val="21"/>
                <w:szCs w:val="21"/>
                <w:lang w:val="ro-RO"/>
              </w:rPr>
            </w:pPr>
            <w:r w:rsidRPr="00A9116C">
              <w:rPr>
                <w:rFonts w:eastAsiaTheme="minorHAnsi" w:cstheme="minorBidi"/>
                <w:b/>
                <w:bCs/>
                <w:sz w:val="21"/>
                <w:szCs w:val="21"/>
                <w:lang w:val="ro-RO"/>
              </w:rPr>
              <w:t>Revizuit de</w:t>
            </w:r>
            <w:r w:rsidR="00625C46" w:rsidRPr="00A9116C">
              <w:rPr>
                <w:rFonts w:eastAsiaTheme="minorHAnsi" w:cstheme="minorBidi"/>
                <w:b/>
                <w:bCs/>
                <w:sz w:val="21"/>
                <w:szCs w:val="21"/>
                <w:lang w:val="ro-RO"/>
              </w:rPr>
              <w:t xml:space="preserve"> </w:t>
            </w:r>
            <w:r w:rsidR="00625C46" w:rsidRPr="00A9116C">
              <w:rPr>
                <w:rFonts w:eastAsiaTheme="minorHAnsi" w:cstheme="minorBidi"/>
                <w:b/>
                <w:bCs/>
                <w:sz w:val="21"/>
                <w:szCs w:val="21"/>
                <w:lang w:val="ro-RO"/>
              </w:rPr>
              <w:br/>
              <w:t>KfW</w:t>
            </w:r>
          </w:p>
        </w:tc>
        <w:tc>
          <w:tcPr>
            <w:tcW w:w="708" w:type="dxa"/>
            <w:textDirection w:val="tbRl"/>
            <w:vAlign w:val="center"/>
          </w:tcPr>
          <w:p w:rsidR="00625C46" w:rsidRPr="00A9116C" w:rsidRDefault="00031CFE" w:rsidP="00912EE4">
            <w:pPr>
              <w:spacing w:before="0" w:after="0" w:line="240" w:lineRule="auto"/>
              <w:ind w:left="-142" w:right="-108"/>
              <w:jc w:val="center"/>
              <w:rPr>
                <w:rFonts w:eastAsiaTheme="minorHAnsi" w:cstheme="minorBidi"/>
                <w:b/>
                <w:bCs/>
                <w:sz w:val="21"/>
                <w:szCs w:val="21"/>
                <w:lang w:val="ro-RO"/>
              </w:rPr>
            </w:pPr>
            <w:r w:rsidRPr="00A9116C">
              <w:rPr>
                <w:rFonts w:eastAsiaTheme="minorHAnsi" w:cstheme="minorBidi"/>
                <w:b/>
                <w:bCs/>
                <w:sz w:val="21"/>
                <w:szCs w:val="21"/>
                <w:lang w:val="ro-RO"/>
              </w:rPr>
              <w:t>Nivelul de risc MSSM</w:t>
            </w:r>
          </w:p>
        </w:tc>
        <w:tc>
          <w:tcPr>
            <w:tcW w:w="1276" w:type="dxa"/>
            <w:textDirection w:val="tbRl"/>
            <w:vAlign w:val="center"/>
          </w:tcPr>
          <w:p w:rsidR="00625C46" w:rsidRPr="00A9116C" w:rsidRDefault="00C01820" w:rsidP="00912EE4">
            <w:pPr>
              <w:spacing w:before="0" w:after="0" w:line="240" w:lineRule="auto"/>
              <w:ind w:left="-142" w:right="-108"/>
              <w:jc w:val="center"/>
              <w:rPr>
                <w:rFonts w:eastAsiaTheme="minorHAnsi" w:cstheme="minorBidi"/>
                <w:b/>
                <w:bCs/>
                <w:sz w:val="21"/>
                <w:szCs w:val="21"/>
                <w:lang w:val="ro-RO"/>
              </w:rPr>
            </w:pPr>
            <w:r w:rsidRPr="00A9116C">
              <w:rPr>
                <w:rFonts w:eastAsiaTheme="minorHAnsi" w:cstheme="minorBidi"/>
                <w:b/>
                <w:bCs/>
                <w:sz w:val="21"/>
                <w:szCs w:val="21"/>
                <w:lang w:val="ro-RO"/>
              </w:rPr>
              <w:t>Publicația de Licitație Estimativă</w:t>
            </w:r>
          </w:p>
        </w:tc>
        <w:tc>
          <w:tcPr>
            <w:tcW w:w="2552" w:type="dxa"/>
            <w:textDirection w:val="tbRl"/>
            <w:vAlign w:val="center"/>
          </w:tcPr>
          <w:p w:rsidR="00625C46" w:rsidRPr="00A9116C" w:rsidRDefault="00C01820" w:rsidP="00912EE4">
            <w:pPr>
              <w:spacing w:before="0" w:after="0" w:line="240" w:lineRule="auto"/>
              <w:ind w:left="-85" w:right="-108"/>
              <w:jc w:val="center"/>
              <w:rPr>
                <w:rFonts w:eastAsiaTheme="minorHAnsi" w:cstheme="minorBidi"/>
                <w:b/>
                <w:bCs/>
                <w:sz w:val="21"/>
                <w:szCs w:val="21"/>
                <w:lang w:val="ro-RO"/>
              </w:rPr>
            </w:pPr>
            <w:r w:rsidRPr="00A9116C">
              <w:rPr>
                <w:rFonts w:eastAsiaTheme="minorHAnsi" w:cstheme="minorBidi"/>
                <w:b/>
                <w:bCs/>
                <w:sz w:val="21"/>
                <w:szCs w:val="21"/>
                <w:lang w:val="ro-RO"/>
              </w:rPr>
              <w:t>Comentarii</w:t>
            </w:r>
          </w:p>
        </w:tc>
      </w:tr>
      <w:tr w:rsidR="00625C46" w:rsidRPr="00A9116C" w:rsidTr="00912EE4">
        <w:trPr>
          <w:jc w:val="center"/>
        </w:trPr>
        <w:tc>
          <w:tcPr>
            <w:tcW w:w="404" w:type="dxa"/>
            <w:vAlign w:val="center"/>
          </w:tcPr>
          <w:p w:rsidR="00625C46" w:rsidRPr="00A9116C" w:rsidRDefault="00625C46" w:rsidP="00912EE4">
            <w:pPr>
              <w:spacing w:before="0" w:after="0" w:line="240" w:lineRule="auto"/>
              <w:jc w:val="center"/>
              <w:rPr>
                <w:rFonts w:eastAsiaTheme="minorHAnsi" w:cstheme="minorBidi"/>
                <w:iCs/>
                <w:sz w:val="21"/>
                <w:szCs w:val="21"/>
                <w:lang w:val="ro-RO"/>
              </w:rPr>
            </w:pPr>
            <w:r w:rsidRPr="00A9116C">
              <w:rPr>
                <w:rFonts w:eastAsiaTheme="minorHAnsi" w:cstheme="minorBidi"/>
                <w:iCs/>
                <w:sz w:val="21"/>
                <w:szCs w:val="21"/>
                <w:lang w:val="ro-RO"/>
              </w:rPr>
              <w:t>1</w:t>
            </w:r>
          </w:p>
        </w:tc>
        <w:tc>
          <w:tcPr>
            <w:tcW w:w="992" w:type="dxa"/>
          </w:tcPr>
          <w:p w:rsidR="00625C46" w:rsidRPr="00A9116C" w:rsidRDefault="00625C46" w:rsidP="00912EE4">
            <w:pPr>
              <w:spacing w:before="0" w:after="0" w:line="240" w:lineRule="auto"/>
              <w:rPr>
                <w:rFonts w:eastAsiaTheme="minorHAnsi" w:cstheme="minorBidi"/>
                <w:iCs/>
                <w:sz w:val="21"/>
                <w:szCs w:val="21"/>
                <w:lang w:val="ro-RO"/>
              </w:rPr>
            </w:pPr>
            <w:r w:rsidRPr="00A9116C">
              <w:rPr>
                <w:rFonts w:eastAsiaTheme="minorHAnsi" w:cstheme="minorBidi"/>
                <w:iCs/>
                <w:sz w:val="21"/>
                <w:szCs w:val="21"/>
                <w:lang w:val="ro-RO"/>
              </w:rPr>
              <w:t>n/a</w:t>
            </w:r>
          </w:p>
        </w:tc>
        <w:tc>
          <w:tcPr>
            <w:tcW w:w="425" w:type="dxa"/>
            <w:vAlign w:val="center"/>
          </w:tcPr>
          <w:p w:rsidR="00625C46" w:rsidRPr="00A9116C" w:rsidRDefault="00625C46" w:rsidP="00912EE4">
            <w:pPr>
              <w:spacing w:before="0" w:after="0" w:line="240" w:lineRule="auto"/>
              <w:rPr>
                <w:rFonts w:eastAsiaTheme="minorHAnsi" w:cstheme="minorBidi"/>
                <w:iCs/>
                <w:sz w:val="21"/>
                <w:szCs w:val="21"/>
                <w:lang w:val="ro-RO"/>
              </w:rPr>
            </w:pPr>
            <w:r w:rsidRPr="00A9116C">
              <w:rPr>
                <w:rFonts w:eastAsiaTheme="minorHAnsi" w:cstheme="minorBidi"/>
                <w:iCs/>
                <w:sz w:val="21"/>
                <w:szCs w:val="21"/>
                <w:lang w:val="ro-RO"/>
              </w:rPr>
              <w:t>C</w:t>
            </w:r>
          </w:p>
        </w:tc>
        <w:tc>
          <w:tcPr>
            <w:tcW w:w="2693" w:type="dxa"/>
            <w:shd w:val="clear" w:color="auto" w:fill="auto"/>
            <w:vAlign w:val="center"/>
          </w:tcPr>
          <w:p w:rsidR="00625C46" w:rsidRPr="00A9116C" w:rsidRDefault="00C01820" w:rsidP="00912EE4">
            <w:pPr>
              <w:spacing w:before="0" w:after="0" w:line="240" w:lineRule="auto"/>
              <w:jc w:val="left"/>
              <w:rPr>
                <w:rFonts w:eastAsiaTheme="minorHAnsi" w:cstheme="minorBidi"/>
                <w:iCs/>
                <w:sz w:val="21"/>
                <w:szCs w:val="21"/>
                <w:lang w:val="ro-RO"/>
              </w:rPr>
            </w:pPr>
            <w:r w:rsidRPr="00A9116C">
              <w:rPr>
                <w:rFonts w:eastAsiaTheme="minorHAnsi" w:cstheme="minorBidi"/>
                <w:iCs/>
                <w:sz w:val="21"/>
                <w:szCs w:val="21"/>
                <w:lang w:val="ro-RO"/>
              </w:rPr>
              <w:t xml:space="preserve">Servicii de Agent de Licitație </w:t>
            </w:r>
          </w:p>
        </w:tc>
        <w:tc>
          <w:tcPr>
            <w:tcW w:w="1843" w:type="dxa"/>
            <w:vAlign w:val="center"/>
          </w:tcPr>
          <w:p w:rsidR="00625C46" w:rsidRPr="00A9116C" w:rsidRDefault="00625C46" w:rsidP="00912EE4">
            <w:pPr>
              <w:spacing w:before="0" w:after="0" w:line="240" w:lineRule="auto"/>
              <w:jc w:val="right"/>
              <w:rPr>
                <w:rFonts w:eastAsiaTheme="minorHAnsi" w:cstheme="minorBidi"/>
                <w:iCs/>
                <w:sz w:val="21"/>
                <w:szCs w:val="21"/>
                <w:lang w:val="ro-RO"/>
              </w:rPr>
            </w:pPr>
            <w:r w:rsidRPr="00A9116C">
              <w:rPr>
                <w:rFonts w:eastAsiaTheme="minorHAnsi" w:cstheme="minorBidi"/>
                <w:iCs/>
                <w:sz w:val="21"/>
                <w:szCs w:val="21"/>
                <w:lang w:val="ro-RO"/>
              </w:rPr>
              <w:t>€30,000</w:t>
            </w:r>
          </w:p>
        </w:tc>
        <w:tc>
          <w:tcPr>
            <w:tcW w:w="1459" w:type="dxa"/>
            <w:vAlign w:val="center"/>
          </w:tcPr>
          <w:p w:rsidR="00625C46" w:rsidRPr="00A9116C" w:rsidRDefault="00625C46" w:rsidP="00912EE4">
            <w:pPr>
              <w:spacing w:before="0" w:after="0" w:line="240" w:lineRule="auto"/>
              <w:jc w:val="right"/>
              <w:rPr>
                <w:rFonts w:eastAsiaTheme="minorHAnsi" w:cstheme="minorBidi"/>
                <w:iCs/>
                <w:sz w:val="21"/>
                <w:szCs w:val="21"/>
                <w:lang w:val="ro-RO"/>
              </w:rPr>
            </w:pPr>
            <w:r w:rsidRPr="00A9116C">
              <w:rPr>
                <w:rFonts w:eastAsiaTheme="minorHAnsi" w:cstheme="minorBidi"/>
                <w:iCs/>
                <w:sz w:val="21"/>
                <w:szCs w:val="21"/>
                <w:lang w:val="ro-RO"/>
              </w:rPr>
              <w:t>SBF</w:t>
            </w:r>
          </w:p>
        </w:tc>
        <w:tc>
          <w:tcPr>
            <w:tcW w:w="708" w:type="dxa"/>
            <w:vAlign w:val="center"/>
          </w:tcPr>
          <w:p w:rsidR="00625C46" w:rsidRPr="00A9116C" w:rsidRDefault="00625C46" w:rsidP="00912EE4">
            <w:pPr>
              <w:spacing w:before="0" w:after="0" w:line="240" w:lineRule="auto"/>
              <w:rPr>
                <w:rFonts w:eastAsiaTheme="minorHAnsi" w:cstheme="minorBidi"/>
                <w:iCs/>
                <w:sz w:val="21"/>
                <w:szCs w:val="21"/>
                <w:lang w:val="ro-RO"/>
              </w:rPr>
            </w:pPr>
            <w:r w:rsidRPr="00A9116C">
              <w:rPr>
                <w:rFonts w:eastAsiaTheme="minorHAnsi" w:cstheme="minorBidi"/>
                <w:iCs/>
                <w:sz w:val="21"/>
                <w:szCs w:val="21"/>
                <w:lang w:val="ro-RO"/>
              </w:rPr>
              <w:t>DA</w:t>
            </w:r>
          </w:p>
        </w:tc>
        <w:tc>
          <w:tcPr>
            <w:tcW w:w="709" w:type="dxa"/>
            <w:vAlign w:val="center"/>
          </w:tcPr>
          <w:p w:rsidR="00625C46" w:rsidRPr="00A9116C" w:rsidRDefault="00625C46" w:rsidP="00912EE4">
            <w:pPr>
              <w:spacing w:before="0" w:after="0" w:line="240" w:lineRule="auto"/>
              <w:jc w:val="center"/>
              <w:rPr>
                <w:rFonts w:eastAsiaTheme="minorHAnsi" w:cstheme="minorBidi"/>
                <w:iCs/>
                <w:sz w:val="21"/>
                <w:szCs w:val="21"/>
                <w:lang w:val="ro-RO"/>
              </w:rPr>
            </w:pPr>
            <w:r w:rsidRPr="00A9116C">
              <w:rPr>
                <w:rFonts w:eastAsiaTheme="minorHAnsi" w:cstheme="minorBidi"/>
                <w:iCs/>
                <w:sz w:val="21"/>
                <w:szCs w:val="21"/>
                <w:lang w:val="ro-RO"/>
              </w:rPr>
              <w:t>1</w:t>
            </w:r>
          </w:p>
        </w:tc>
        <w:tc>
          <w:tcPr>
            <w:tcW w:w="709" w:type="dxa"/>
            <w:vAlign w:val="center"/>
          </w:tcPr>
          <w:p w:rsidR="00625C46" w:rsidRPr="00A9116C" w:rsidRDefault="00625C46" w:rsidP="00912EE4">
            <w:pPr>
              <w:spacing w:before="0" w:after="0" w:line="240" w:lineRule="auto"/>
              <w:jc w:val="center"/>
              <w:rPr>
                <w:rFonts w:eastAsiaTheme="minorHAnsi" w:cstheme="minorBidi"/>
                <w:iCs/>
                <w:sz w:val="21"/>
                <w:szCs w:val="21"/>
                <w:lang w:val="ro-RO"/>
              </w:rPr>
            </w:pPr>
            <w:r w:rsidRPr="00A9116C">
              <w:rPr>
                <w:rFonts w:eastAsiaTheme="minorHAnsi" w:cstheme="minorBidi"/>
                <w:iCs/>
                <w:sz w:val="21"/>
                <w:szCs w:val="21"/>
                <w:lang w:val="ro-RO"/>
              </w:rPr>
              <w:t>KfW</w:t>
            </w:r>
          </w:p>
        </w:tc>
        <w:tc>
          <w:tcPr>
            <w:tcW w:w="709" w:type="dxa"/>
            <w:vAlign w:val="center"/>
          </w:tcPr>
          <w:p w:rsidR="00625C46" w:rsidRPr="00A9116C" w:rsidRDefault="00625C46" w:rsidP="00912EE4">
            <w:pPr>
              <w:spacing w:before="0" w:after="0" w:line="240" w:lineRule="auto"/>
              <w:jc w:val="center"/>
              <w:rPr>
                <w:rFonts w:eastAsiaTheme="minorHAnsi" w:cstheme="minorBidi"/>
                <w:iCs/>
                <w:sz w:val="21"/>
                <w:szCs w:val="21"/>
                <w:lang w:val="ro-RO"/>
              </w:rPr>
            </w:pPr>
            <w:r w:rsidRPr="00A9116C">
              <w:rPr>
                <w:rFonts w:eastAsiaTheme="minorHAnsi" w:cstheme="minorBidi"/>
                <w:iCs/>
                <w:sz w:val="21"/>
                <w:szCs w:val="21"/>
                <w:lang w:val="ro-RO"/>
              </w:rPr>
              <w:t>F</w:t>
            </w:r>
          </w:p>
        </w:tc>
        <w:tc>
          <w:tcPr>
            <w:tcW w:w="708" w:type="dxa"/>
            <w:vAlign w:val="center"/>
          </w:tcPr>
          <w:p w:rsidR="00625C46" w:rsidRPr="00A9116C" w:rsidRDefault="00625C46" w:rsidP="00912EE4">
            <w:pPr>
              <w:spacing w:before="0" w:after="0" w:line="240" w:lineRule="auto"/>
              <w:jc w:val="center"/>
              <w:rPr>
                <w:rFonts w:eastAsiaTheme="minorHAnsi" w:cstheme="minorBidi"/>
                <w:iCs/>
                <w:sz w:val="21"/>
                <w:szCs w:val="21"/>
                <w:lang w:val="ro-RO"/>
              </w:rPr>
            </w:pPr>
            <w:r w:rsidRPr="00A9116C">
              <w:rPr>
                <w:rFonts w:eastAsiaTheme="minorHAnsi" w:cstheme="minorBidi"/>
                <w:iCs/>
                <w:sz w:val="21"/>
                <w:szCs w:val="21"/>
                <w:lang w:val="ro-RO"/>
              </w:rPr>
              <w:t>B</w:t>
            </w:r>
          </w:p>
        </w:tc>
        <w:tc>
          <w:tcPr>
            <w:tcW w:w="1276" w:type="dxa"/>
            <w:vAlign w:val="center"/>
          </w:tcPr>
          <w:p w:rsidR="00625C46" w:rsidRPr="00A9116C" w:rsidRDefault="00625C46" w:rsidP="00912EE4">
            <w:pPr>
              <w:spacing w:before="0" w:after="0" w:line="240" w:lineRule="auto"/>
              <w:jc w:val="right"/>
              <w:rPr>
                <w:rFonts w:eastAsiaTheme="minorHAnsi" w:cstheme="minorBidi"/>
                <w:iCs/>
                <w:sz w:val="21"/>
                <w:szCs w:val="21"/>
                <w:lang w:val="ro-RO"/>
              </w:rPr>
            </w:pPr>
            <w:r w:rsidRPr="00A9116C">
              <w:rPr>
                <w:rFonts w:eastAsiaTheme="minorHAnsi" w:cstheme="minorBidi"/>
                <w:iCs/>
                <w:sz w:val="21"/>
                <w:szCs w:val="21"/>
                <w:lang w:val="ro-RO"/>
              </w:rPr>
              <w:t>01.12.2018</w:t>
            </w:r>
          </w:p>
        </w:tc>
        <w:tc>
          <w:tcPr>
            <w:tcW w:w="2552" w:type="dxa"/>
          </w:tcPr>
          <w:p w:rsidR="00625C46" w:rsidRPr="00A9116C" w:rsidRDefault="002D506C" w:rsidP="00912EE4">
            <w:pPr>
              <w:spacing w:before="0" w:after="0" w:line="240" w:lineRule="auto"/>
              <w:jc w:val="center"/>
              <w:rPr>
                <w:rFonts w:eastAsiaTheme="minorHAnsi" w:cstheme="minorBidi"/>
                <w:iCs/>
                <w:sz w:val="21"/>
                <w:szCs w:val="21"/>
                <w:lang w:val="ro-RO"/>
              </w:rPr>
            </w:pPr>
            <w:r w:rsidRPr="00A9116C">
              <w:rPr>
                <w:rFonts w:eastAsiaTheme="minorHAnsi" w:cstheme="minorBidi"/>
                <w:iCs/>
                <w:sz w:val="21"/>
                <w:szCs w:val="21"/>
                <w:lang w:val="ro-RO"/>
              </w:rPr>
              <w:t xml:space="preserve">Contract încheiat </w:t>
            </w:r>
          </w:p>
        </w:tc>
      </w:tr>
      <w:tr w:rsidR="00625C46" w:rsidRPr="00A9116C" w:rsidTr="00912EE4">
        <w:trPr>
          <w:jc w:val="center"/>
        </w:trPr>
        <w:tc>
          <w:tcPr>
            <w:tcW w:w="404" w:type="dxa"/>
            <w:vAlign w:val="center"/>
          </w:tcPr>
          <w:p w:rsidR="00625C46" w:rsidRPr="00A9116C" w:rsidRDefault="00625C46" w:rsidP="00912EE4">
            <w:pPr>
              <w:spacing w:before="0" w:after="0" w:line="240" w:lineRule="auto"/>
              <w:jc w:val="center"/>
              <w:rPr>
                <w:rFonts w:eastAsiaTheme="minorHAnsi" w:cstheme="minorBidi"/>
                <w:iCs/>
                <w:sz w:val="21"/>
                <w:szCs w:val="21"/>
                <w:lang w:val="ro-RO"/>
              </w:rPr>
            </w:pPr>
            <w:r w:rsidRPr="00A9116C">
              <w:rPr>
                <w:rFonts w:eastAsiaTheme="minorHAnsi" w:cstheme="minorBidi"/>
                <w:iCs/>
                <w:sz w:val="21"/>
                <w:szCs w:val="21"/>
                <w:lang w:val="ro-RO"/>
              </w:rPr>
              <w:t>2</w:t>
            </w:r>
          </w:p>
        </w:tc>
        <w:tc>
          <w:tcPr>
            <w:tcW w:w="992" w:type="dxa"/>
          </w:tcPr>
          <w:p w:rsidR="00625C46" w:rsidRPr="00A9116C" w:rsidRDefault="00625C46" w:rsidP="00912EE4">
            <w:pPr>
              <w:spacing w:before="0" w:after="0" w:line="240" w:lineRule="auto"/>
              <w:rPr>
                <w:rFonts w:eastAsiaTheme="minorHAnsi" w:cstheme="minorBidi"/>
                <w:iCs/>
                <w:sz w:val="21"/>
                <w:szCs w:val="21"/>
                <w:lang w:val="ro-RO"/>
              </w:rPr>
            </w:pPr>
            <w:r w:rsidRPr="00A9116C">
              <w:rPr>
                <w:rFonts w:eastAsiaTheme="minorHAnsi" w:cstheme="minorBidi"/>
                <w:iCs/>
                <w:sz w:val="21"/>
                <w:szCs w:val="21"/>
                <w:lang w:val="ro-RO"/>
              </w:rPr>
              <w:t>504045</w:t>
            </w:r>
          </w:p>
        </w:tc>
        <w:tc>
          <w:tcPr>
            <w:tcW w:w="425" w:type="dxa"/>
            <w:vAlign w:val="center"/>
          </w:tcPr>
          <w:p w:rsidR="00625C46" w:rsidRPr="00A9116C" w:rsidRDefault="00625C46" w:rsidP="00912EE4">
            <w:pPr>
              <w:spacing w:before="0" w:after="0" w:line="240" w:lineRule="auto"/>
              <w:rPr>
                <w:rFonts w:eastAsiaTheme="minorHAnsi" w:cstheme="minorBidi"/>
                <w:iCs/>
                <w:sz w:val="21"/>
                <w:szCs w:val="21"/>
                <w:lang w:val="ro-RO"/>
              </w:rPr>
            </w:pPr>
            <w:r w:rsidRPr="00A9116C">
              <w:rPr>
                <w:rFonts w:eastAsiaTheme="minorHAnsi" w:cstheme="minorBidi"/>
                <w:iCs/>
                <w:sz w:val="21"/>
                <w:szCs w:val="21"/>
                <w:lang w:val="ro-RO"/>
              </w:rPr>
              <w:t>C</w:t>
            </w:r>
          </w:p>
        </w:tc>
        <w:tc>
          <w:tcPr>
            <w:tcW w:w="2693" w:type="dxa"/>
            <w:shd w:val="clear" w:color="auto" w:fill="auto"/>
            <w:vAlign w:val="center"/>
          </w:tcPr>
          <w:p w:rsidR="00625C46" w:rsidRPr="00A9116C" w:rsidRDefault="00625C46" w:rsidP="00912EE4">
            <w:pPr>
              <w:spacing w:before="0" w:after="0" w:line="240" w:lineRule="auto"/>
              <w:jc w:val="left"/>
              <w:rPr>
                <w:rFonts w:eastAsiaTheme="minorHAnsi" w:cstheme="minorBidi"/>
                <w:iCs/>
                <w:sz w:val="21"/>
                <w:szCs w:val="21"/>
                <w:lang w:val="ro-RO"/>
              </w:rPr>
            </w:pPr>
            <w:r w:rsidRPr="00A9116C">
              <w:rPr>
                <w:rFonts w:eastAsiaTheme="minorHAnsi" w:cstheme="minorBidi"/>
                <w:iCs/>
                <w:sz w:val="21"/>
                <w:szCs w:val="21"/>
                <w:lang w:val="ro-RO"/>
              </w:rPr>
              <w:t>Consultant</w:t>
            </w:r>
            <w:r w:rsidR="00C01820" w:rsidRPr="00A9116C">
              <w:rPr>
                <w:rFonts w:eastAsiaTheme="minorHAnsi" w:cstheme="minorBidi"/>
                <w:iCs/>
                <w:sz w:val="21"/>
                <w:szCs w:val="21"/>
                <w:lang w:val="ro-RO"/>
              </w:rPr>
              <w:t xml:space="preserve"> de Implementare</w:t>
            </w:r>
          </w:p>
        </w:tc>
        <w:tc>
          <w:tcPr>
            <w:tcW w:w="1843" w:type="dxa"/>
            <w:vAlign w:val="center"/>
          </w:tcPr>
          <w:p w:rsidR="00625C46" w:rsidRPr="00A9116C" w:rsidRDefault="00625C46" w:rsidP="00912EE4">
            <w:pPr>
              <w:spacing w:before="0" w:after="0" w:line="240" w:lineRule="auto"/>
              <w:jc w:val="right"/>
              <w:rPr>
                <w:rFonts w:eastAsiaTheme="minorHAnsi" w:cstheme="minorBidi"/>
                <w:iCs/>
                <w:sz w:val="21"/>
                <w:szCs w:val="21"/>
                <w:lang w:val="ro-RO"/>
              </w:rPr>
            </w:pPr>
            <w:r w:rsidRPr="00A9116C">
              <w:rPr>
                <w:rFonts w:eastAsiaTheme="minorHAnsi" w:cstheme="minorBidi"/>
                <w:iCs/>
                <w:sz w:val="21"/>
                <w:szCs w:val="21"/>
                <w:lang w:val="ro-RO"/>
              </w:rPr>
              <w:t>€2.000.000</w:t>
            </w:r>
          </w:p>
        </w:tc>
        <w:tc>
          <w:tcPr>
            <w:tcW w:w="1459" w:type="dxa"/>
            <w:vAlign w:val="center"/>
          </w:tcPr>
          <w:p w:rsidR="00625C46" w:rsidRPr="00A9116C" w:rsidRDefault="00625C46" w:rsidP="00912EE4">
            <w:pPr>
              <w:spacing w:before="0" w:after="0" w:line="240" w:lineRule="auto"/>
              <w:jc w:val="right"/>
              <w:rPr>
                <w:rFonts w:eastAsiaTheme="minorHAnsi" w:cstheme="minorBidi"/>
                <w:iCs/>
                <w:sz w:val="21"/>
                <w:szCs w:val="21"/>
                <w:lang w:val="ro-RO"/>
              </w:rPr>
            </w:pPr>
            <w:r w:rsidRPr="00A9116C">
              <w:rPr>
                <w:rFonts w:eastAsiaTheme="minorHAnsi" w:cstheme="minorBidi"/>
                <w:iCs/>
                <w:sz w:val="21"/>
                <w:szCs w:val="21"/>
                <w:lang w:val="ro-RO"/>
              </w:rPr>
              <w:t>KfW: 100%</w:t>
            </w:r>
          </w:p>
        </w:tc>
        <w:tc>
          <w:tcPr>
            <w:tcW w:w="708" w:type="dxa"/>
            <w:vAlign w:val="center"/>
          </w:tcPr>
          <w:p w:rsidR="00625C46" w:rsidRPr="00A9116C" w:rsidRDefault="00625C46" w:rsidP="00912EE4">
            <w:pPr>
              <w:spacing w:before="0" w:after="0" w:line="240" w:lineRule="auto"/>
              <w:rPr>
                <w:rFonts w:eastAsiaTheme="minorHAnsi" w:cstheme="minorBidi"/>
                <w:iCs/>
                <w:sz w:val="21"/>
                <w:szCs w:val="21"/>
                <w:lang w:val="ro-RO"/>
              </w:rPr>
            </w:pPr>
            <w:r w:rsidRPr="00A9116C">
              <w:rPr>
                <w:rFonts w:eastAsiaTheme="minorHAnsi" w:cstheme="minorBidi"/>
                <w:iCs/>
                <w:sz w:val="21"/>
                <w:szCs w:val="21"/>
                <w:lang w:val="ro-RO"/>
              </w:rPr>
              <w:t>ICB</w:t>
            </w:r>
          </w:p>
        </w:tc>
        <w:tc>
          <w:tcPr>
            <w:tcW w:w="709" w:type="dxa"/>
            <w:vAlign w:val="center"/>
          </w:tcPr>
          <w:p w:rsidR="00625C46" w:rsidRPr="00A9116C" w:rsidRDefault="00625C46" w:rsidP="00912EE4">
            <w:pPr>
              <w:spacing w:before="0" w:after="0" w:line="240" w:lineRule="auto"/>
              <w:jc w:val="center"/>
              <w:rPr>
                <w:rFonts w:eastAsiaTheme="minorHAnsi" w:cstheme="minorBidi"/>
                <w:iCs/>
                <w:sz w:val="21"/>
                <w:szCs w:val="21"/>
                <w:lang w:val="ro-RO"/>
              </w:rPr>
            </w:pPr>
            <w:r w:rsidRPr="00A9116C">
              <w:rPr>
                <w:rFonts w:eastAsiaTheme="minorHAnsi" w:cstheme="minorBidi"/>
                <w:iCs/>
                <w:sz w:val="21"/>
                <w:szCs w:val="21"/>
                <w:lang w:val="ro-RO"/>
              </w:rPr>
              <w:t>2</w:t>
            </w:r>
          </w:p>
        </w:tc>
        <w:tc>
          <w:tcPr>
            <w:tcW w:w="709" w:type="dxa"/>
            <w:vAlign w:val="center"/>
          </w:tcPr>
          <w:p w:rsidR="00625C46" w:rsidRPr="00A9116C" w:rsidRDefault="00625C46" w:rsidP="00912EE4">
            <w:pPr>
              <w:spacing w:before="0" w:after="0" w:line="240" w:lineRule="auto"/>
              <w:jc w:val="center"/>
              <w:rPr>
                <w:rFonts w:eastAsiaTheme="minorHAnsi" w:cstheme="minorBidi"/>
                <w:iCs/>
                <w:sz w:val="21"/>
                <w:szCs w:val="21"/>
                <w:lang w:val="ro-RO"/>
              </w:rPr>
            </w:pPr>
            <w:r w:rsidRPr="00A9116C">
              <w:rPr>
                <w:rFonts w:eastAsiaTheme="minorHAnsi" w:cstheme="minorBidi"/>
                <w:iCs/>
                <w:sz w:val="21"/>
                <w:szCs w:val="21"/>
                <w:lang w:val="ro-RO"/>
              </w:rPr>
              <w:t>KfW</w:t>
            </w:r>
          </w:p>
        </w:tc>
        <w:tc>
          <w:tcPr>
            <w:tcW w:w="709" w:type="dxa"/>
            <w:vAlign w:val="center"/>
          </w:tcPr>
          <w:p w:rsidR="00625C46" w:rsidRPr="00A9116C" w:rsidRDefault="00625C46" w:rsidP="00912EE4">
            <w:pPr>
              <w:spacing w:before="0" w:after="0" w:line="240" w:lineRule="auto"/>
              <w:jc w:val="center"/>
              <w:rPr>
                <w:rFonts w:eastAsiaTheme="minorHAnsi" w:cstheme="minorBidi"/>
                <w:iCs/>
                <w:sz w:val="21"/>
                <w:szCs w:val="21"/>
                <w:lang w:val="ro-RO"/>
              </w:rPr>
            </w:pPr>
            <w:r w:rsidRPr="00A9116C">
              <w:rPr>
                <w:rFonts w:eastAsiaTheme="minorHAnsi" w:cstheme="minorBidi"/>
                <w:iCs/>
                <w:sz w:val="21"/>
                <w:szCs w:val="21"/>
                <w:lang w:val="ro-RO"/>
              </w:rPr>
              <w:t>F</w:t>
            </w:r>
          </w:p>
        </w:tc>
        <w:tc>
          <w:tcPr>
            <w:tcW w:w="708" w:type="dxa"/>
            <w:vAlign w:val="center"/>
          </w:tcPr>
          <w:p w:rsidR="00625C46" w:rsidRPr="00A9116C" w:rsidRDefault="00625C46" w:rsidP="00912EE4">
            <w:pPr>
              <w:spacing w:before="0" w:after="0" w:line="240" w:lineRule="auto"/>
              <w:jc w:val="center"/>
              <w:rPr>
                <w:rFonts w:eastAsiaTheme="minorHAnsi" w:cstheme="minorBidi"/>
                <w:iCs/>
                <w:sz w:val="21"/>
                <w:szCs w:val="21"/>
                <w:lang w:val="ro-RO"/>
              </w:rPr>
            </w:pPr>
            <w:r w:rsidRPr="00A9116C">
              <w:rPr>
                <w:rFonts w:eastAsiaTheme="minorHAnsi" w:cstheme="minorBidi"/>
                <w:iCs/>
                <w:sz w:val="21"/>
                <w:szCs w:val="21"/>
                <w:lang w:val="ro-RO"/>
              </w:rPr>
              <w:t>B</w:t>
            </w:r>
          </w:p>
        </w:tc>
        <w:tc>
          <w:tcPr>
            <w:tcW w:w="1276" w:type="dxa"/>
            <w:vAlign w:val="center"/>
          </w:tcPr>
          <w:p w:rsidR="00625C46" w:rsidRPr="00A9116C" w:rsidRDefault="00625C46" w:rsidP="00912EE4">
            <w:pPr>
              <w:spacing w:before="0" w:after="0" w:line="240" w:lineRule="auto"/>
              <w:jc w:val="right"/>
              <w:rPr>
                <w:rFonts w:eastAsiaTheme="minorHAnsi" w:cstheme="minorBidi"/>
                <w:iCs/>
                <w:sz w:val="21"/>
                <w:szCs w:val="21"/>
                <w:lang w:val="ro-RO"/>
              </w:rPr>
            </w:pPr>
            <w:r w:rsidRPr="00A9116C">
              <w:rPr>
                <w:rFonts w:eastAsiaTheme="minorHAnsi" w:cstheme="minorBidi"/>
                <w:iCs/>
                <w:sz w:val="21"/>
                <w:szCs w:val="21"/>
                <w:lang w:val="ro-RO"/>
              </w:rPr>
              <w:t>01.10.2019</w:t>
            </w:r>
          </w:p>
        </w:tc>
        <w:tc>
          <w:tcPr>
            <w:tcW w:w="2552" w:type="dxa"/>
          </w:tcPr>
          <w:p w:rsidR="00625C46" w:rsidRPr="00A9116C" w:rsidRDefault="002D506C" w:rsidP="00912EE4">
            <w:pPr>
              <w:spacing w:before="0" w:after="0" w:line="240" w:lineRule="auto"/>
              <w:jc w:val="center"/>
              <w:rPr>
                <w:rFonts w:eastAsiaTheme="minorHAnsi" w:cstheme="minorBidi"/>
                <w:iCs/>
                <w:sz w:val="21"/>
                <w:szCs w:val="21"/>
                <w:lang w:val="ro-RO"/>
              </w:rPr>
            </w:pPr>
            <w:r w:rsidRPr="00A9116C">
              <w:rPr>
                <w:rFonts w:eastAsiaTheme="minorHAnsi" w:cstheme="minorBidi"/>
                <w:iCs/>
                <w:sz w:val="21"/>
                <w:szCs w:val="21"/>
                <w:lang w:val="ro-RO"/>
              </w:rPr>
              <w:t>Proiectare și Supraveghere</w:t>
            </w:r>
          </w:p>
        </w:tc>
      </w:tr>
      <w:tr w:rsidR="00625C46" w:rsidRPr="00A9116C" w:rsidTr="00912EE4">
        <w:trPr>
          <w:jc w:val="center"/>
        </w:trPr>
        <w:tc>
          <w:tcPr>
            <w:tcW w:w="404" w:type="dxa"/>
            <w:vAlign w:val="center"/>
          </w:tcPr>
          <w:p w:rsidR="00625C46" w:rsidRPr="00A9116C" w:rsidRDefault="00625C46" w:rsidP="00912EE4">
            <w:pPr>
              <w:spacing w:before="40" w:after="40" w:line="276" w:lineRule="auto"/>
              <w:jc w:val="center"/>
              <w:rPr>
                <w:rFonts w:eastAsiaTheme="minorHAnsi" w:cstheme="minorBidi"/>
                <w:iCs/>
                <w:sz w:val="21"/>
                <w:szCs w:val="21"/>
                <w:lang w:val="ro-RO"/>
              </w:rPr>
            </w:pPr>
            <w:r w:rsidRPr="00A9116C">
              <w:rPr>
                <w:rFonts w:eastAsiaTheme="minorHAnsi" w:cstheme="minorBidi"/>
                <w:iCs/>
                <w:sz w:val="21"/>
                <w:szCs w:val="21"/>
                <w:lang w:val="ro-RO"/>
              </w:rPr>
              <w:t>3</w:t>
            </w:r>
          </w:p>
        </w:tc>
        <w:tc>
          <w:tcPr>
            <w:tcW w:w="992" w:type="dxa"/>
          </w:tcPr>
          <w:p w:rsidR="00625C46" w:rsidRPr="00A9116C" w:rsidRDefault="00625C46" w:rsidP="00912EE4">
            <w:pPr>
              <w:spacing w:before="40" w:after="40" w:line="276" w:lineRule="auto"/>
              <w:rPr>
                <w:rFonts w:eastAsiaTheme="minorHAnsi" w:cstheme="minorBidi"/>
                <w:iCs/>
                <w:sz w:val="21"/>
                <w:szCs w:val="21"/>
                <w:lang w:val="ro-RO"/>
              </w:rPr>
            </w:pPr>
            <w:r w:rsidRPr="00A9116C">
              <w:rPr>
                <w:rFonts w:eastAsiaTheme="minorHAnsi" w:cstheme="minorBidi"/>
                <w:iCs/>
                <w:sz w:val="21"/>
                <w:szCs w:val="21"/>
                <w:lang w:val="ro-RO"/>
              </w:rPr>
              <w:t>n/a</w:t>
            </w:r>
          </w:p>
        </w:tc>
        <w:tc>
          <w:tcPr>
            <w:tcW w:w="425" w:type="dxa"/>
            <w:vAlign w:val="center"/>
          </w:tcPr>
          <w:p w:rsidR="00625C46" w:rsidRPr="00A9116C" w:rsidRDefault="00625C46" w:rsidP="00912EE4">
            <w:pPr>
              <w:spacing w:before="40" w:after="40" w:line="276" w:lineRule="auto"/>
              <w:rPr>
                <w:rFonts w:eastAsiaTheme="minorHAnsi" w:cstheme="minorBidi"/>
                <w:iCs/>
                <w:sz w:val="21"/>
                <w:szCs w:val="21"/>
                <w:lang w:val="ro-RO"/>
              </w:rPr>
            </w:pPr>
            <w:r w:rsidRPr="00A9116C">
              <w:rPr>
                <w:rFonts w:eastAsiaTheme="minorHAnsi" w:cstheme="minorBidi"/>
                <w:iCs/>
                <w:sz w:val="21"/>
                <w:szCs w:val="21"/>
                <w:lang w:val="ro-RO"/>
              </w:rPr>
              <w:t>W</w:t>
            </w:r>
          </w:p>
        </w:tc>
        <w:tc>
          <w:tcPr>
            <w:tcW w:w="2693" w:type="dxa"/>
            <w:shd w:val="clear" w:color="auto" w:fill="auto"/>
            <w:vAlign w:val="center"/>
          </w:tcPr>
          <w:p w:rsidR="00625C46" w:rsidRPr="00A9116C" w:rsidRDefault="00C01820" w:rsidP="00C01820">
            <w:pPr>
              <w:spacing w:before="40" w:after="40" w:line="276" w:lineRule="auto"/>
              <w:jc w:val="left"/>
              <w:rPr>
                <w:rFonts w:eastAsiaTheme="minorHAnsi" w:cstheme="minorBidi"/>
                <w:iCs/>
                <w:sz w:val="21"/>
                <w:szCs w:val="21"/>
                <w:lang w:val="ro-RO"/>
              </w:rPr>
            </w:pPr>
            <w:r w:rsidRPr="00A9116C">
              <w:rPr>
                <w:rFonts w:eastAsiaTheme="minorHAnsi" w:cstheme="minorBidi"/>
                <w:iCs/>
                <w:sz w:val="21"/>
                <w:szCs w:val="21"/>
                <w:lang w:val="ro-RO"/>
              </w:rPr>
              <w:t>Contract de Construcții (carte roză)</w:t>
            </w:r>
            <w:r w:rsidR="00625C46" w:rsidRPr="00A9116C">
              <w:rPr>
                <w:rFonts w:eastAsiaTheme="minorHAnsi" w:cstheme="minorBidi"/>
                <w:iCs/>
                <w:sz w:val="21"/>
                <w:szCs w:val="21"/>
                <w:lang w:val="ro-RO"/>
              </w:rPr>
              <w:t xml:space="preserve"> </w:t>
            </w:r>
          </w:p>
        </w:tc>
        <w:tc>
          <w:tcPr>
            <w:tcW w:w="1843" w:type="dxa"/>
            <w:vAlign w:val="center"/>
          </w:tcPr>
          <w:p w:rsidR="00625C46" w:rsidRPr="00A9116C" w:rsidRDefault="00625C46" w:rsidP="00912EE4">
            <w:pPr>
              <w:spacing w:before="40" w:after="40" w:line="276" w:lineRule="auto"/>
              <w:jc w:val="right"/>
              <w:rPr>
                <w:rFonts w:eastAsiaTheme="minorHAnsi" w:cstheme="minorBidi"/>
                <w:iCs/>
                <w:sz w:val="21"/>
                <w:szCs w:val="21"/>
                <w:lang w:val="ro-RO"/>
              </w:rPr>
            </w:pPr>
            <w:r w:rsidRPr="00A9116C">
              <w:rPr>
                <w:rFonts w:eastAsiaTheme="minorHAnsi" w:cstheme="minorBidi"/>
                <w:iCs/>
                <w:sz w:val="21"/>
                <w:szCs w:val="21"/>
                <w:lang w:val="ro-RO"/>
              </w:rPr>
              <w:t>€14.600.000</w:t>
            </w:r>
          </w:p>
        </w:tc>
        <w:tc>
          <w:tcPr>
            <w:tcW w:w="1459" w:type="dxa"/>
            <w:vAlign w:val="center"/>
          </w:tcPr>
          <w:p w:rsidR="00625C46" w:rsidRPr="00A9116C" w:rsidRDefault="00625C46" w:rsidP="00912EE4">
            <w:pPr>
              <w:spacing w:before="40" w:after="40" w:line="276" w:lineRule="auto"/>
              <w:jc w:val="right"/>
              <w:rPr>
                <w:rFonts w:eastAsiaTheme="minorHAnsi" w:cstheme="minorBidi"/>
                <w:iCs/>
                <w:sz w:val="21"/>
                <w:szCs w:val="21"/>
                <w:lang w:val="ro-RO"/>
              </w:rPr>
            </w:pPr>
            <w:r w:rsidRPr="00A9116C">
              <w:rPr>
                <w:rFonts w:eastAsiaTheme="minorHAnsi" w:cstheme="minorBidi"/>
                <w:iCs/>
                <w:sz w:val="21"/>
                <w:szCs w:val="21"/>
                <w:lang w:val="ro-RO"/>
              </w:rPr>
              <w:t>KfW: 90%</w:t>
            </w:r>
          </w:p>
          <w:p w:rsidR="00625C46" w:rsidRPr="00A9116C" w:rsidRDefault="002D506C" w:rsidP="00912EE4">
            <w:pPr>
              <w:spacing w:before="40" w:after="40" w:line="276" w:lineRule="auto"/>
              <w:jc w:val="right"/>
              <w:rPr>
                <w:rFonts w:eastAsiaTheme="minorHAnsi" w:cstheme="minorBidi"/>
                <w:iCs/>
                <w:sz w:val="21"/>
                <w:szCs w:val="21"/>
                <w:lang w:val="ro-RO"/>
              </w:rPr>
            </w:pPr>
            <w:r w:rsidRPr="00A9116C">
              <w:rPr>
                <w:rFonts w:eastAsiaTheme="minorHAnsi" w:cstheme="minorBidi"/>
                <w:iCs/>
                <w:sz w:val="21"/>
                <w:szCs w:val="21"/>
                <w:lang w:val="ro-RO"/>
              </w:rPr>
              <w:t>Surse proprii</w:t>
            </w:r>
            <w:r w:rsidR="00625C46" w:rsidRPr="00A9116C">
              <w:rPr>
                <w:rFonts w:eastAsiaTheme="minorHAnsi" w:cstheme="minorBidi"/>
                <w:iCs/>
                <w:sz w:val="21"/>
                <w:szCs w:val="21"/>
                <w:lang w:val="ro-RO"/>
              </w:rPr>
              <w:t>: 10%</w:t>
            </w:r>
          </w:p>
        </w:tc>
        <w:tc>
          <w:tcPr>
            <w:tcW w:w="708" w:type="dxa"/>
            <w:vAlign w:val="center"/>
          </w:tcPr>
          <w:p w:rsidR="00625C46" w:rsidRPr="00A9116C" w:rsidRDefault="00625C46" w:rsidP="00912EE4">
            <w:pPr>
              <w:spacing w:before="40" w:after="40" w:line="276" w:lineRule="auto"/>
              <w:rPr>
                <w:rFonts w:eastAsiaTheme="minorHAnsi" w:cstheme="minorBidi"/>
                <w:iCs/>
                <w:sz w:val="21"/>
                <w:szCs w:val="21"/>
                <w:lang w:val="ro-RO"/>
              </w:rPr>
            </w:pPr>
            <w:r w:rsidRPr="00A9116C">
              <w:rPr>
                <w:rFonts w:eastAsiaTheme="minorHAnsi" w:cstheme="minorBidi"/>
                <w:iCs/>
                <w:sz w:val="21"/>
                <w:szCs w:val="21"/>
                <w:lang w:val="ro-RO"/>
              </w:rPr>
              <w:t>ICB</w:t>
            </w:r>
          </w:p>
        </w:tc>
        <w:tc>
          <w:tcPr>
            <w:tcW w:w="709" w:type="dxa"/>
            <w:vAlign w:val="center"/>
          </w:tcPr>
          <w:p w:rsidR="00625C46" w:rsidRPr="00A9116C" w:rsidRDefault="00625C46" w:rsidP="00912EE4">
            <w:pPr>
              <w:spacing w:before="40" w:after="40" w:line="276" w:lineRule="auto"/>
              <w:jc w:val="center"/>
              <w:rPr>
                <w:rFonts w:eastAsiaTheme="minorHAnsi" w:cstheme="minorBidi"/>
                <w:iCs/>
                <w:sz w:val="21"/>
                <w:szCs w:val="21"/>
                <w:lang w:val="ro-RO"/>
              </w:rPr>
            </w:pPr>
            <w:r w:rsidRPr="00A9116C">
              <w:rPr>
                <w:rFonts w:eastAsiaTheme="minorHAnsi" w:cstheme="minorBidi"/>
                <w:iCs/>
                <w:sz w:val="21"/>
                <w:szCs w:val="21"/>
                <w:lang w:val="ro-RO"/>
              </w:rPr>
              <w:t>1 or 2</w:t>
            </w:r>
          </w:p>
        </w:tc>
        <w:tc>
          <w:tcPr>
            <w:tcW w:w="709" w:type="dxa"/>
            <w:vAlign w:val="center"/>
          </w:tcPr>
          <w:p w:rsidR="00625C46" w:rsidRPr="00A9116C" w:rsidRDefault="00625C46" w:rsidP="00912EE4">
            <w:pPr>
              <w:spacing w:before="40" w:after="40" w:line="276" w:lineRule="auto"/>
              <w:jc w:val="center"/>
              <w:rPr>
                <w:rFonts w:eastAsiaTheme="minorHAnsi" w:cstheme="minorBidi"/>
                <w:iCs/>
                <w:sz w:val="21"/>
                <w:szCs w:val="21"/>
                <w:lang w:val="ro-RO"/>
              </w:rPr>
            </w:pPr>
            <w:r w:rsidRPr="00A9116C">
              <w:rPr>
                <w:rFonts w:eastAsiaTheme="minorHAnsi" w:cstheme="minorBidi"/>
                <w:iCs/>
                <w:sz w:val="21"/>
                <w:szCs w:val="21"/>
                <w:lang w:val="ro-RO"/>
              </w:rPr>
              <w:t>KfW</w:t>
            </w:r>
          </w:p>
        </w:tc>
        <w:tc>
          <w:tcPr>
            <w:tcW w:w="709" w:type="dxa"/>
            <w:vAlign w:val="center"/>
          </w:tcPr>
          <w:p w:rsidR="00625C46" w:rsidRPr="00A9116C" w:rsidRDefault="00625C46" w:rsidP="00912EE4">
            <w:pPr>
              <w:spacing w:before="40" w:after="40" w:line="276" w:lineRule="auto"/>
              <w:jc w:val="center"/>
              <w:rPr>
                <w:rFonts w:eastAsiaTheme="minorHAnsi" w:cstheme="minorBidi"/>
                <w:iCs/>
                <w:sz w:val="21"/>
                <w:szCs w:val="21"/>
                <w:lang w:val="ro-RO"/>
              </w:rPr>
            </w:pPr>
            <w:r w:rsidRPr="00A9116C">
              <w:rPr>
                <w:rFonts w:eastAsiaTheme="minorHAnsi" w:cstheme="minorBidi"/>
                <w:iCs/>
                <w:sz w:val="21"/>
                <w:szCs w:val="21"/>
                <w:lang w:val="ro-RO"/>
              </w:rPr>
              <w:t>F</w:t>
            </w:r>
          </w:p>
        </w:tc>
        <w:tc>
          <w:tcPr>
            <w:tcW w:w="708" w:type="dxa"/>
            <w:vAlign w:val="center"/>
          </w:tcPr>
          <w:p w:rsidR="00625C46" w:rsidRPr="00A9116C" w:rsidRDefault="00625C46" w:rsidP="00912EE4">
            <w:pPr>
              <w:spacing w:before="40" w:after="40" w:line="276" w:lineRule="auto"/>
              <w:jc w:val="center"/>
              <w:rPr>
                <w:rFonts w:eastAsiaTheme="minorHAnsi" w:cstheme="minorBidi"/>
                <w:iCs/>
                <w:sz w:val="21"/>
                <w:szCs w:val="21"/>
                <w:lang w:val="ro-RO"/>
              </w:rPr>
            </w:pPr>
            <w:r w:rsidRPr="00A9116C">
              <w:rPr>
                <w:rFonts w:eastAsiaTheme="minorHAnsi" w:cstheme="minorBidi"/>
                <w:iCs/>
                <w:sz w:val="21"/>
                <w:szCs w:val="21"/>
                <w:lang w:val="ro-RO"/>
              </w:rPr>
              <w:t>B</w:t>
            </w:r>
          </w:p>
        </w:tc>
        <w:tc>
          <w:tcPr>
            <w:tcW w:w="1276" w:type="dxa"/>
            <w:vAlign w:val="center"/>
          </w:tcPr>
          <w:p w:rsidR="00625C46" w:rsidRPr="00A9116C" w:rsidRDefault="00625C46" w:rsidP="00912EE4">
            <w:pPr>
              <w:spacing w:before="40" w:after="40" w:line="276" w:lineRule="auto"/>
              <w:jc w:val="right"/>
              <w:rPr>
                <w:rFonts w:eastAsiaTheme="minorHAnsi" w:cstheme="minorBidi"/>
                <w:iCs/>
                <w:sz w:val="21"/>
                <w:szCs w:val="21"/>
                <w:lang w:val="ro-RO"/>
              </w:rPr>
            </w:pPr>
            <w:r w:rsidRPr="00A9116C">
              <w:rPr>
                <w:rFonts w:eastAsiaTheme="minorHAnsi" w:cstheme="minorBidi"/>
                <w:iCs/>
                <w:sz w:val="21"/>
                <w:szCs w:val="21"/>
                <w:lang w:val="ro-RO"/>
              </w:rPr>
              <w:t>01.10.2020</w:t>
            </w:r>
          </w:p>
        </w:tc>
        <w:tc>
          <w:tcPr>
            <w:tcW w:w="2552" w:type="dxa"/>
          </w:tcPr>
          <w:p w:rsidR="00625C46" w:rsidRPr="00A9116C" w:rsidRDefault="006A2D1D" w:rsidP="006A2D1D">
            <w:pPr>
              <w:spacing w:before="40" w:after="40" w:line="276" w:lineRule="auto"/>
              <w:jc w:val="center"/>
              <w:rPr>
                <w:rFonts w:eastAsiaTheme="minorHAnsi" w:cstheme="minorBidi"/>
                <w:iCs/>
                <w:sz w:val="21"/>
                <w:szCs w:val="21"/>
                <w:lang w:val="ro-RO"/>
              </w:rPr>
            </w:pPr>
            <w:r w:rsidRPr="00A9116C">
              <w:rPr>
                <w:rFonts w:eastAsiaTheme="minorHAnsi" w:cstheme="minorBidi"/>
                <w:iCs/>
                <w:sz w:val="21"/>
                <w:szCs w:val="21"/>
                <w:lang w:val="ro-RO"/>
              </w:rPr>
              <w:t>Menținerea t</w:t>
            </w:r>
            <w:r w:rsidR="002D506C" w:rsidRPr="00A9116C">
              <w:rPr>
                <w:rFonts w:eastAsiaTheme="minorHAnsi" w:cstheme="minorBidi"/>
                <w:iCs/>
                <w:sz w:val="21"/>
                <w:szCs w:val="21"/>
                <w:lang w:val="ro-RO"/>
              </w:rPr>
              <w:t>ransmisie</w:t>
            </w:r>
            <w:r w:rsidRPr="00A9116C">
              <w:rPr>
                <w:rFonts w:eastAsiaTheme="minorHAnsi" w:cstheme="minorBidi"/>
                <w:iCs/>
                <w:sz w:val="21"/>
                <w:szCs w:val="21"/>
                <w:lang w:val="ro-RO"/>
              </w:rPr>
              <w:t>i și reabilitării</w:t>
            </w:r>
            <w:r w:rsidR="002D506C" w:rsidRPr="00A9116C">
              <w:rPr>
                <w:rFonts w:eastAsiaTheme="minorHAnsi" w:cstheme="minorBidi"/>
                <w:iCs/>
                <w:sz w:val="21"/>
                <w:szCs w:val="21"/>
                <w:lang w:val="ro-RO"/>
              </w:rPr>
              <w:t xml:space="preserve"> și extinderea rețelelor </w:t>
            </w:r>
          </w:p>
        </w:tc>
      </w:tr>
      <w:tr w:rsidR="00625C46" w:rsidRPr="00A9116C" w:rsidTr="00912EE4">
        <w:trPr>
          <w:jc w:val="center"/>
        </w:trPr>
        <w:tc>
          <w:tcPr>
            <w:tcW w:w="404" w:type="dxa"/>
            <w:vAlign w:val="center"/>
          </w:tcPr>
          <w:p w:rsidR="00625C46" w:rsidRPr="00A9116C" w:rsidRDefault="00625C46" w:rsidP="00912EE4">
            <w:pPr>
              <w:spacing w:before="40" w:after="40" w:line="276" w:lineRule="auto"/>
              <w:jc w:val="center"/>
              <w:rPr>
                <w:rFonts w:eastAsiaTheme="minorHAnsi" w:cstheme="minorBidi"/>
                <w:iCs/>
                <w:sz w:val="21"/>
                <w:szCs w:val="21"/>
                <w:lang w:val="ro-RO"/>
              </w:rPr>
            </w:pPr>
            <w:r w:rsidRPr="00A9116C">
              <w:rPr>
                <w:rFonts w:eastAsiaTheme="minorHAnsi" w:cstheme="minorBidi"/>
                <w:iCs/>
                <w:sz w:val="21"/>
                <w:szCs w:val="21"/>
                <w:lang w:val="ro-RO"/>
              </w:rPr>
              <w:t>4</w:t>
            </w:r>
          </w:p>
        </w:tc>
        <w:tc>
          <w:tcPr>
            <w:tcW w:w="992" w:type="dxa"/>
          </w:tcPr>
          <w:p w:rsidR="00625C46" w:rsidRPr="00A9116C" w:rsidRDefault="00625C46" w:rsidP="00912EE4">
            <w:pPr>
              <w:spacing w:before="40" w:after="40" w:line="276" w:lineRule="auto"/>
              <w:rPr>
                <w:rFonts w:eastAsiaTheme="minorHAnsi" w:cstheme="minorBidi"/>
                <w:iCs/>
                <w:sz w:val="21"/>
                <w:szCs w:val="21"/>
                <w:lang w:val="ro-RO"/>
              </w:rPr>
            </w:pPr>
          </w:p>
        </w:tc>
        <w:tc>
          <w:tcPr>
            <w:tcW w:w="425" w:type="dxa"/>
            <w:vAlign w:val="center"/>
          </w:tcPr>
          <w:p w:rsidR="00625C46" w:rsidRPr="00A9116C" w:rsidRDefault="00625C46" w:rsidP="00912EE4">
            <w:pPr>
              <w:spacing w:before="40" w:after="40" w:line="276" w:lineRule="auto"/>
              <w:rPr>
                <w:rFonts w:eastAsiaTheme="minorHAnsi" w:cstheme="minorBidi"/>
                <w:iCs/>
                <w:sz w:val="21"/>
                <w:szCs w:val="21"/>
                <w:lang w:val="ro-RO"/>
              </w:rPr>
            </w:pPr>
          </w:p>
        </w:tc>
        <w:tc>
          <w:tcPr>
            <w:tcW w:w="2693" w:type="dxa"/>
            <w:shd w:val="clear" w:color="auto" w:fill="auto"/>
            <w:vAlign w:val="center"/>
          </w:tcPr>
          <w:p w:rsidR="00625C46" w:rsidRPr="00A9116C" w:rsidRDefault="00625C46" w:rsidP="00912EE4">
            <w:pPr>
              <w:spacing w:before="40" w:after="40" w:line="276" w:lineRule="auto"/>
              <w:jc w:val="left"/>
              <w:rPr>
                <w:rFonts w:eastAsiaTheme="minorHAnsi" w:cstheme="minorBidi"/>
                <w:iCs/>
                <w:sz w:val="21"/>
                <w:szCs w:val="21"/>
                <w:lang w:val="ro-RO"/>
              </w:rPr>
            </w:pPr>
          </w:p>
        </w:tc>
        <w:tc>
          <w:tcPr>
            <w:tcW w:w="1843" w:type="dxa"/>
            <w:vAlign w:val="center"/>
          </w:tcPr>
          <w:p w:rsidR="00625C46" w:rsidRPr="00A9116C" w:rsidRDefault="00625C46" w:rsidP="00912EE4">
            <w:pPr>
              <w:spacing w:before="40" w:after="40" w:line="276" w:lineRule="auto"/>
              <w:jc w:val="right"/>
              <w:rPr>
                <w:rFonts w:eastAsiaTheme="minorHAnsi" w:cstheme="minorBidi"/>
                <w:iCs/>
                <w:sz w:val="21"/>
                <w:szCs w:val="21"/>
                <w:lang w:val="ro-RO"/>
              </w:rPr>
            </w:pPr>
          </w:p>
        </w:tc>
        <w:tc>
          <w:tcPr>
            <w:tcW w:w="1459" w:type="dxa"/>
            <w:vAlign w:val="center"/>
          </w:tcPr>
          <w:p w:rsidR="00625C46" w:rsidRPr="00A9116C" w:rsidRDefault="00625C46" w:rsidP="00912EE4">
            <w:pPr>
              <w:spacing w:before="40" w:after="40" w:line="276" w:lineRule="auto"/>
              <w:jc w:val="right"/>
              <w:rPr>
                <w:rFonts w:eastAsiaTheme="minorHAnsi" w:cstheme="minorBidi"/>
                <w:iCs/>
                <w:sz w:val="21"/>
                <w:szCs w:val="21"/>
                <w:lang w:val="ro-RO"/>
              </w:rPr>
            </w:pPr>
          </w:p>
        </w:tc>
        <w:tc>
          <w:tcPr>
            <w:tcW w:w="708" w:type="dxa"/>
            <w:vAlign w:val="center"/>
          </w:tcPr>
          <w:p w:rsidR="00625C46" w:rsidRPr="00A9116C" w:rsidRDefault="00625C46" w:rsidP="00912EE4">
            <w:pPr>
              <w:spacing w:before="40" w:after="40" w:line="276" w:lineRule="auto"/>
              <w:rPr>
                <w:rFonts w:eastAsiaTheme="minorHAnsi" w:cstheme="minorBidi"/>
                <w:iCs/>
                <w:sz w:val="21"/>
                <w:szCs w:val="21"/>
                <w:lang w:val="ro-RO"/>
              </w:rPr>
            </w:pPr>
          </w:p>
        </w:tc>
        <w:tc>
          <w:tcPr>
            <w:tcW w:w="709" w:type="dxa"/>
            <w:vAlign w:val="center"/>
          </w:tcPr>
          <w:p w:rsidR="00625C46" w:rsidRPr="00A9116C" w:rsidRDefault="00625C46" w:rsidP="00912EE4">
            <w:pPr>
              <w:spacing w:before="40" w:after="40" w:line="276" w:lineRule="auto"/>
              <w:jc w:val="center"/>
              <w:rPr>
                <w:rFonts w:eastAsiaTheme="minorHAnsi" w:cstheme="minorBidi"/>
                <w:iCs/>
                <w:sz w:val="21"/>
                <w:szCs w:val="21"/>
                <w:lang w:val="ro-RO"/>
              </w:rPr>
            </w:pPr>
          </w:p>
        </w:tc>
        <w:tc>
          <w:tcPr>
            <w:tcW w:w="709" w:type="dxa"/>
            <w:vAlign w:val="center"/>
          </w:tcPr>
          <w:p w:rsidR="00625C46" w:rsidRPr="00A9116C" w:rsidRDefault="00625C46" w:rsidP="00912EE4">
            <w:pPr>
              <w:spacing w:before="40" w:after="40" w:line="276" w:lineRule="auto"/>
              <w:jc w:val="center"/>
              <w:rPr>
                <w:rFonts w:eastAsiaTheme="minorHAnsi" w:cstheme="minorBidi"/>
                <w:iCs/>
                <w:sz w:val="21"/>
                <w:szCs w:val="21"/>
                <w:lang w:val="ro-RO"/>
              </w:rPr>
            </w:pPr>
          </w:p>
        </w:tc>
        <w:tc>
          <w:tcPr>
            <w:tcW w:w="709" w:type="dxa"/>
            <w:vAlign w:val="center"/>
          </w:tcPr>
          <w:p w:rsidR="00625C46" w:rsidRPr="00A9116C" w:rsidRDefault="00625C46" w:rsidP="00912EE4">
            <w:pPr>
              <w:spacing w:before="40" w:after="40" w:line="276" w:lineRule="auto"/>
              <w:jc w:val="center"/>
              <w:rPr>
                <w:rFonts w:eastAsiaTheme="minorHAnsi" w:cstheme="minorBidi"/>
                <w:iCs/>
                <w:sz w:val="21"/>
                <w:szCs w:val="21"/>
                <w:lang w:val="ro-RO"/>
              </w:rPr>
            </w:pPr>
          </w:p>
        </w:tc>
        <w:tc>
          <w:tcPr>
            <w:tcW w:w="708" w:type="dxa"/>
            <w:vAlign w:val="center"/>
          </w:tcPr>
          <w:p w:rsidR="00625C46" w:rsidRPr="00A9116C" w:rsidRDefault="00625C46" w:rsidP="00912EE4">
            <w:pPr>
              <w:spacing w:before="40" w:after="40" w:line="276" w:lineRule="auto"/>
              <w:jc w:val="center"/>
              <w:rPr>
                <w:rFonts w:eastAsiaTheme="minorHAnsi" w:cstheme="minorBidi"/>
                <w:iCs/>
                <w:sz w:val="21"/>
                <w:szCs w:val="21"/>
                <w:lang w:val="ro-RO"/>
              </w:rPr>
            </w:pPr>
          </w:p>
        </w:tc>
        <w:tc>
          <w:tcPr>
            <w:tcW w:w="1276" w:type="dxa"/>
            <w:vAlign w:val="center"/>
          </w:tcPr>
          <w:p w:rsidR="00625C46" w:rsidRPr="00A9116C" w:rsidRDefault="00625C46" w:rsidP="00912EE4">
            <w:pPr>
              <w:spacing w:before="40" w:after="40" w:line="276" w:lineRule="auto"/>
              <w:jc w:val="right"/>
              <w:rPr>
                <w:rFonts w:eastAsiaTheme="minorHAnsi" w:cstheme="minorBidi"/>
                <w:iCs/>
                <w:sz w:val="21"/>
                <w:szCs w:val="21"/>
                <w:lang w:val="ro-RO"/>
              </w:rPr>
            </w:pPr>
          </w:p>
        </w:tc>
        <w:tc>
          <w:tcPr>
            <w:tcW w:w="2552" w:type="dxa"/>
          </w:tcPr>
          <w:p w:rsidR="00625C46" w:rsidRPr="00A9116C" w:rsidRDefault="00625C46" w:rsidP="00912EE4">
            <w:pPr>
              <w:spacing w:before="40" w:after="40" w:line="276" w:lineRule="auto"/>
              <w:jc w:val="center"/>
              <w:rPr>
                <w:rFonts w:eastAsiaTheme="minorHAnsi" w:cstheme="minorBidi"/>
                <w:iCs/>
                <w:sz w:val="21"/>
                <w:szCs w:val="21"/>
                <w:lang w:val="ro-RO"/>
              </w:rPr>
            </w:pPr>
          </w:p>
        </w:tc>
      </w:tr>
      <w:tr w:rsidR="00625C46" w:rsidRPr="00A9116C" w:rsidTr="00912EE4">
        <w:trPr>
          <w:jc w:val="center"/>
        </w:trPr>
        <w:tc>
          <w:tcPr>
            <w:tcW w:w="404" w:type="dxa"/>
            <w:vAlign w:val="center"/>
          </w:tcPr>
          <w:p w:rsidR="00625C46" w:rsidRPr="00A9116C" w:rsidRDefault="00625C46" w:rsidP="00912EE4">
            <w:pPr>
              <w:spacing w:before="40" w:after="40" w:line="276" w:lineRule="auto"/>
              <w:jc w:val="right"/>
              <w:rPr>
                <w:rFonts w:eastAsiaTheme="minorHAnsi" w:cstheme="minorBidi"/>
                <w:iCs/>
                <w:sz w:val="21"/>
                <w:szCs w:val="21"/>
                <w:lang w:val="ro-RO"/>
              </w:rPr>
            </w:pPr>
            <w:r w:rsidRPr="00A9116C">
              <w:rPr>
                <w:rFonts w:eastAsiaTheme="minorHAnsi" w:cstheme="minorBidi"/>
                <w:iCs/>
                <w:sz w:val="21"/>
                <w:szCs w:val="21"/>
                <w:lang w:val="ro-RO"/>
              </w:rPr>
              <w:t>…</w:t>
            </w:r>
          </w:p>
        </w:tc>
        <w:tc>
          <w:tcPr>
            <w:tcW w:w="992" w:type="dxa"/>
          </w:tcPr>
          <w:p w:rsidR="00625C46" w:rsidRPr="00A9116C" w:rsidRDefault="00625C46" w:rsidP="00912EE4">
            <w:pPr>
              <w:spacing w:before="40" w:after="40" w:line="276" w:lineRule="auto"/>
              <w:rPr>
                <w:rFonts w:eastAsiaTheme="minorHAnsi" w:cstheme="minorBidi"/>
                <w:iCs/>
                <w:sz w:val="21"/>
                <w:szCs w:val="21"/>
                <w:lang w:val="ro-RO"/>
              </w:rPr>
            </w:pPr>
          </w:p>
        </w:tc>
        <w:tc>
          <w:tcPr>
            <w:tcW w:w="425" w:type="dxa"/>
            <w:vAlign w:val="center"/>
          </w:tcPr>
          <w:p w:rsidR="00625C46" w:rsidRPr="00A9116C" w:rsidRDefault="00625C46" w:rsidP="00912EE4">
            <w:pPr>
              <w:spacing w:before="40" w:after="40" w:line="276" w:lineRule="auto"/>
              <w:rPr>
                <w:rFonts w:eastAsiaTheme="minorHAnsi" w:cstheme="minorBidi"/>
                <w:iCs/>
                <w:sz w:val="21"/>
                <w:szCs w:val="21"/>
                <w:lang w:val="ro-RO"/>
              </w:rPr>
            </w:pPr>
          </w:p>
        </w:tc>
        <w:tc>
          <w:tcPr>
            <w:tcW w:w="2693" w:type="dxa"/>
            <w:shd w:val="clear" w:color="auto" w:fill="auto"/>
            <w:vAlign w:val="center"/>
          </w:tcPr>
          <w:p w:rsidR="00625C46" w:rsidRPr="00A9116C" w:rsidRDefault="00625C46" w:rsidP="00912EE4">
            <w:pPr>
              <w:spacing w:before="40" w:after="40" w:line="276" w:lineRule="auto"/>
              <w:rPr>
                <w:rFonts w:eastAsiaTheme="minorHAnsi" w:cstheme="minorBidi"/>
                <w:iCs/>
                <w:sz w:val="21"/>
                <w:szCs w:val="21"/>
                <w:lang w:val="ro-RO"/>
              </w:rPr>
            </w:pPr>
          </w:p>
        </w:tc>
        <w:tc>
          <w:tcPr>
            <w:tcW w:w="1843" w:type="dxa"/>
            <w:vAlign w:val="center"/>
          </w:tcPr>
          <w:p w:rsidR="00625C46" w:rsidRPr="00A9116C" w:rsidRDefault="00625C46" w:rsidP="00912EE4">
            <w:pPr>
              <w:spacing w:before="40" w:after="40" w:line="276" w:lineRule="auto"/>
              <w:jc w:val="right"/>
              <w:rPr>
                <w:rFonts w:eastAsiaTheme="minorHAnsi" w:cstheme="minorBidi"/>
                <w:iCs/>
                <w:sz w:val="21"/>
                <w:szCs w:val="21"/>
                <w:lang w:val="ro-RO"/>
              </w:rPr>
            </w:pPr>
          </w:p>
        </w:tc>
        <w:tc>
          <w:tcPr>
            <w:tcW w:w="1459" w:type="dxa"/>
            <w:vAlign w:val="center"/>
          </w:tcPr>
          <w:p w:rsidR="00625C46" w:rsidRPr="00A9116C" w:rsidRDefault="00625C46" w:rsidP="00912EE4">
            <w:pPr>
              <w:spacing w:before="40" w:after="40" w:line="276" w:lineRule="auto"/>
              <w:jc w:val="right"/>
              <w:rPr>
                <w:rFonts w:eastAsiaTheme="minorHAnsi" w:cstheme="minorBidi"/>
                <w:iCs/>
                <w:sz w:val="21"/>
                <w:szCs w:val="21"/>
                <w:lang w:val="ro-RO"/>
              </w:rPr>
            </w:pPr>
          </w:p>
        </w:tc>
        <w:tc>
          <w:tcPr>
            <w:tcW w:w="708" w:type="dxa"/>
            <w:vAlign w:val="center"/>
          </w:tcPr>
          <w:p w:rsidR="00625C46" w:rsidRPr="00A9116C" w:rsidRDefault="00625C46" w:rsidP="00912EE4">
            <w:pPr>
              <w:spacing w:before="40" w:after="40" w:line="276" w:lineRule="auto"/>
              <w:rPr>
                <w:rFonts w:eastAsiaTheme="minorHAnsi" w:cstheme="minorBidi"/>
                <w:iCs/>
                <w:sz w:val="21"/>
                <w:szCs w:val="21"/>
                <w:lang w:val="ro-RO"/>
              </w:rPr>
            </w:pPr>
          </w:p>
        </w:tc>
        <w:tc>
          <w:tcPr>
            <w:tcW w:w="709" w:type="dxa"/>
            <w:vAlign w:val="center"/>
          </w:tcPr>
          <w:p w:rsidR="00625C46" w:rsidRPr="00A9116C" w:rsidRDefault="00625C46" w:rsidP="00912EE4">
            <w:pPr>
              <w:spacing w:before="40" w:after="40" w:line="276" w:lineRule="auto"/>
              <w:jc w:val="center"/>
              <w:rPr>
                <w:rFonts w:eastAsiaTheme="minorHAnsi" w:cstheme="minorBidi"/>
                <w:iCs/>
                <w:sz w:val="21"/>
                <w:szCs w:val="21"/>
                <w:lang w:val="ro-RO"/>
              </w:rPr>
            </w:pPr>
          </w:p>
        </w:tc>
        <w:tc>
          <w:tcPr>
            <w:tcW w:w="709" w:type="dxa"/>
            <w:vAlign w:val="center"/>
          </w:tcPr>
          <w:p w:rsidR="00625C46" w:rsidRPr="00A9116C" w:rsidRDefault="00625C46" w:rsidP="00912EE4">
            <w:pPr>
              <w:spacing w:before="40" w:after="40" w:line="276" w:lineRule="auto"/>
              <w:rPr>
                <w:rFonts w:eastAsiaTheme="minorHAnsi" w:cstheme="minorBidi"/>
                <w:iCs/>
                <w:sz w:val="21"/>
                <w:szCs w:val="21"/>
                <w:lang w:val="ro-RO"/>
              </w:rPr>
            </w:pPr>
          </w:p>
        </w:tc>
        <w:tc>
          <w:tcPr>
            <w:tcW w:w="709" w:type="dxa"/>
            <w:vAlign w:val="center"/>
          </w:tcPr>
          <w:p w:rsidR="00625C46" w:rsidRPr="00A9116C" w:rsidRDefault="00625C46" w:rsidP="00912EE4">
            <w:pPr>
              <w:spacing w:before="40" w:after="40" w:line="276" w:lineRule="auto"/>
              <w:rPr>
                <w:rFonts w:eastAsiaTheme="minorHAnsi" w:cstheme="minorBidi"/>
                <w:iCs/>
                <w:sz w:val="21"/>
                <w:szCs w:val="21"/>
                <w:lang w:val="ro-RO"/>
              </w:rPr>
            </w:pPr>
          </w:p>
        </w:tc>
        <w:tc>
          <w:tcPr>
            <w:tcW w:w="708" w:type="dxa"/>
            <w:vAlign w:val="center"/>
          </w:tcPr>
          <w:p w:rsidR="00625C46" w:rsidRPr="00A9116C" w:rsidRDefault="00625C46" w:rsidP="00912EE4">
            <w:pPr>
              <w:spacing w:before="40" w:after="40" w:line="276" w:lineRule="auto"/>
              <w:rPr>
                <w:rFonts w:eastAsiaTheme="minorHAnsi" w:cstheme="minorBidi"/>
                <w:iCs/>
                <w:sz w:val="21"/>
                <w:szCs w:val="21"/>
                <w:lang w:val="ro-RO"/>
              </w:rPr>
            </w:pPr>
          </w:p>
        </w:tc>
        <w:tc>
          <w:tcPr>
            <w:tcW w:w="1276" w:type="dxa"/>
            <w:vAlign w:val="center"/>
          </w:tcPr>
          <w:p w:rsidR="00625C46" w:rsidRPr="00A9116C" w:rsidRDefault="00625C46" w:rsidP="00912EE4">
            <w:pPr>
              <w:spacing w:before="40" w:after="40" w:line="276" w:lineRule="auto"/>
              <w:jc w:val="right"/>
              <w:rPr>
                <w:rFonts w:eastAsiaTheme="minorHAnsi" w:cstheme="minorBidi"/>
                <w:iCs/>
                <w:sz w:val="21"/>
                <w:szCs w:val="21"/>
                <w:lang w:val="ro-RO"/>
              </w:rPr>
            </w:pPr>
          </w:p>
        </w:tc>
        <w:tc>
          <w:tcPr>
            <w:tcW w:w="2552" w:type="dxa"/>
          </w:tcPr>
          <w:p w:rsidR="00625C46" w:rsidRPr="00A9116C" w:rsidRDefault="00625C46" w:rsidP="00912EE4">
            <w:pPr>
              <w:spacing w:before="40" w:after="40" w:line="276" w:lineRule="auto"/>
              <w:jc w:val="center"/>
              <w:rPr>
                <w:rFonts w:eastAsiaTheme="minorHAnsi" w:cstheme="minorBidi"/>
                <w:iCs/>
                <w:sz w:val="21"/>
                <w:szCs w:val="21"/>
                <w:lang w:val="ro-RO"/>
              </w:rPr>
            </w:pPr>
          </w:p>
        </w:tc>
      </w:tr>
    </w:tbl>
    <w:p w:rsidR="00625C46" w:rsidRPr="00A9116C" w:rsidRDefault="00625C46" w:rsidP="00625C46">
      <w:pPr>
        <w:spacing w:after="180" w:line="276" w:lineRule="auto"/>
        <w:rPr>
          <w:rFonts w:eastAsiaTheme="minorHAnsi" w:cs="Arial"/>
          <w:color w:val="000000" w:themeColor="text1"/>
          <w:sz w:val="21"/>
          <w:szCs w:val="22"/>
          <w:lang w:val="ro-RO"/>
        </w:rPr>
      </w:pPr>
    </w:p>
    <w:p w:rsidR="00625C46" w:rsidRPr="00A9116C" w:rsidRDefault="00625C46" w:rsidP="00625C46">
      <w:pPr>
        <w:spacing w:after="180" w:line="276" w:lineRule="auto"/>
        <w:rPr>
          <w:rFonts w:eastAsiaTheme="minorHAnsi" w:cs="Arial"/>
          <w:color w:val="000000" w:themeColor="text1"/>
          <w:sz w:val="21"/>
          <w:szCs w:val="22"/>
          <w:lang w:val="ro-RO"/>
        </w:rPr>
      </w:pPr>
    </w:p>
    <w:p w:rsidR="00625C46" w:rsidRDefault="006A2D1D" w:rsidP="00717D1A">
      <w:pPr>
        <w:spacing w:after="180" w:line="276" w:lineRule="auto"/>
        <w:rPr>
          <w:rFonts w:eastAsiaTheme="minorHAnsi" w:cs="Arial"/>
          <w:i/>
          <w:color w:val="000000" w:themeColor="text1"/>
          <w:sz w:val="21"/>
          <w:szCs w:val="22"/>
          <w:lang w:val="ro-RO"/>
        </w:rPr>
      </w:pPr>
      <w:r w:rsidRPr="00A9116C">
        <w:rPr>
          <w:rFonts w:eastAsiaTheme="minorHAnsi" w:cs="Arial"/>
          <w:i/>
          <w:color w:val="000000" w:themeColor="text1"/>
          <w:sz w:val="21"/>
          <w:szCs w:val="22"/>
          <w:lang w:val="ro-RO"/>
        </w:rPr>
        <w:t>Acord (uri): ……… .Lista altor aranjamente generale sau excepții legate de achiziții, dacă există.</w:t>
      </w:r>
    </w:p>
    <w:p w:rsidR="00FE5CE5" w:rsidRDefault="00FE5CE5" w:rsidP="00717D1A">
      <w:pPr>
        <w:spacing w:after="180" w:line="276" w:lineRule="auto"/>
        <w:rPr>
          <w:rFonts w:eastAsiaTheme="minorHAnsi" w:cs="Arial"/>
          <w:i/>
          <w:color w:val="000000" w:themeColor="text1"/>
          <w:sz w:val="21"/>
          <w:szCs w:val="22"/>
          <w:lang w:val="ro-RO"/>
        </w:rPr>
      </w:pPr>
    </w:p>
    <w:p w:rsidR="00FE5CE5" w:rsidRPr="00A9116C" w:rsidRDefault="00FE5CE5" w:rsidP="00717D1A">
      <w:pPr>
        <w:spacing w:after="180" w:line="276" w:lineRule="auto"/>
        <w:rPr>
          <w:rFonts w:eastAsiaTheme="minorHAnsi" w:cs="Arial"/>
          <w:i/>
          <w:color w:val="000000" w:themeColor="text1"/>
          <w:sz w:val="21"/>
          <w:szCs w:val="22"/>
          <w:lang w:val="ro-RO"/>
        </w:rPr>
        <w:sectPr w:rsidR="00FE5CE5" w:rsidRPr="00A9116C" w:rsidSect="00912EE4">
          <w:headerReference w:type="default" r:id="rId10"/>
          <w:footerReference w:type="default" r:id="rId11"/>
          <w:footerReference w:type="first" r:id="rId12"/>
          <w:pgSz w:w="16838" w:h="11906" w:orient="landscape" w:code="9"/>
          <w:pgMar w:top="1701" w:right="1134" w:bottom="1418" w:left="1134" w:header="567" w:footer="851" w:gutter="0"/>
          <w:cols w:space="720"/>
          <w:docGrid w:linePitch="326"/>
        </w:sectPr>
      </w:pPr>
    </w:p>
    <w:p w:rsidR="005B6695" w:rsidRPr="00A9116C" w:rsidRDefault="005B6695" w:rsidP="00FE5CE5">
      <w:pPr>
        <w:rPr>
          <w:lang w:val="ro-RO"/>
        </w:rPr>
      </w:pPr>
    </w:p>
    <w:sectPr w:rsidR="005B6695" w:rsidRPr="00A9116C" w:rsidSect="00912EE4">
      <w:pgSz w:w="11906" w:h="16838" w:code="9"/>
      <w:pgMar w:top="1134" w:right="1418" w:bottom="1134" w:left="1701" w:header="567" w:footer="85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375" w:rsidRDefault="002F2375">
      <w:pPr>
        <w:spacing w:before="0" w:after="0" w:line="240" w:lineRule="auto"/>
      </w:pPr>
      <w:r>
        <w:separator/>
      </w:r>
    </w:p>
  </w:endnote>
  <w:endnote w:type="continuationSeparator" w:id="0">
    <w:p w:rsidR="002F2375" w:rsidRDefault="002F23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Fett">
    <w:altName w:val="Times New Roman"/>
    <w:panose1 w:val="00000000000000000000"/>
    <w:charset w:val="00"/>
    <w:family w:val="roman"/>
    <w:notTrueType/>
    <w:pitch w:val="default"/>
  </w:font>
  <w:font w:name="PFCentroSansPro-Regular">
    <w:altName w:val="Courier New"/>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E33" w:rsidRPr="008A4838" w:rsidRDefault="00251E33" w:rsidP="00912EE4">
    <w:pPr>
      <w:pStyle w:val="a3"/>
      <w:spacing w:line="240" w:lineRule="auto"/>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E33" w:rsidRPr="00070996" w:rsidRDefault="00251E33" w:rsidP="00912EE4">
    <w:pPr>
      <w:tabs>
        <w:tab w:val="left" w:pos="993"/>
        <w:tab w:val="left" w:pos="2410"/>
        <w:tab w:val="left" w:pos="4395"/>
        <w:tab w:val="left" w:pos="5812"/>
        <w:tab w:val="left" w:pos="7230"/>
        <w:tab w:val="right" w:pos="9498"/>
      </w:tabs>
      <w:spacing w:before="0" w:after="0" w:line="240" w:lineRule="auto"/>
      <w:ind w:right="-1848"/>
      <w:rPr>
        <w:rFonts w:cs="Arial"/>
        <w:vanish/>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E33" w:rsidRPr="008A4838" w:rsidRDefault="00251E33" w:rsidP="00912EE4">
    <w:pPr>
      <w:pStyle w:val="a3"/>
      <w:spacing w:line="240" w:lineRule="auto"/>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E33" w:rsidRPr="00070996" w:rsidRDefault="00251E33" w:rsidP="00912EE4">
    <w:pPr>
      <w:tabs>
        <w:tab w:val="left" w:pos="993"/>
        <w:tab w:val="left" w:pos="2410"/>
        <w:tab w:val="left" w:pos="4395"/>
        <w:tab w:val="left" w:pos="5812"/>
        <w:tab w:val="left" w:pos="7230"/>
        <w:tab w:val="right" w:pos="9498"/>
      </w:tabs>
      <w:spacing w:before="0" w:after="0" w:line="240" w:lineRule="auto"/>
      <w:ind w:right="-1848"/>
      <w:rPr>
        <w:rFonts w:cs="Arial"/>
        <w:vanish/>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375" w:rsidRDefault="002F2375">
      <w:pPr>
        <w:spacing w:before="0" w:after="0" w:line="240" w:lineRule="auto"/>
      </w:pPr>
      <w:r>
        <w:separator/>
      </w:r>
    </w:p>
  </w:footnote>
  <w:footnote w:type="continuationSeparator" w:id="0">
    <w:p w:rsidR="002F2375" w:rsidRDefault="002F237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461438"/>
      <w:docPartObj>
        <w:docPartGallery w:val="Page Numbers (Top of Page)"/>
        <w:docPartUnique/>
      </w:docPartObj>
    </w:sdtPr>
    <w:sdtEndPr/>
    <w:sdtContent>
      <w:p w:rsidR="00251E33" w:rsidRDefault="00251E33">
        <w:pPr>
          <w:pStyle w:val="a5"/>
          <w:jc w:val="center"/>
        </w:pPr>
        <w:r>
          <w:fldChar w:fldCharType="begin"/>
        </w:r>
        <w:r>
          <w:instrText>PAGE   \* MERGEFORMAT</w:instrText>
        </w:r>
        <w:r>
          <w:fldChar w:fldCharType="separate"/>
        </w:r>
        <w:r w:rsidR="002F6474">
          <w:rPr>
            <w:noProof/>
          </w:rPr>
          <w:t>4</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009228"/>
      <w:docPartObj>
        <w:docPartGallery w:val="Page Numbers (Top of Page)"/>
        <w:docPartUnique/>
      </w:docPartObj>
    </w:sdtPr>
    <w:sdtEndPr/>
    <w:sdtContent>
      <w:p w:rsidR="00251E33" w:rsidRDefault="00251E33">
        <w:pPr>
          <w:pStyle w:val="a5"/>
          <w:jc w:val="center"/>
        </w:pPr>
        <w:r>
          <w:fldChar w:fldCharType="begin"/>
        </w:r>
        <w:r>
          <w:instrText>PAGE   \* MERGEFORMAT</w:instrText>
        </w:r>
        <w:r>
          <w:fldChar w:fldCharType="separate"/>
        </w:r>
        <w:r w:rsidR="002F6474">
          <w:rPr>
            <w:noProof/>
          </w:rPr>
          <w:t>18</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49F1"/>
    <w:multiLevelType w:val="multilevel"/>
    <w:tmpl w:val="4E98B3BE"/>
    <w:lvl w:ilvl="0">
      <w:start w:val="2"/>
      <w:numFmt w:val="decimal"/>
      <w:lvlText w:val="%1."/>
      <w:lvlJc w:val="left"/>
      <w:pPr>
        <w:ind w:left="720" w:hanging="360"/>
      </w:pPr>
      <w:rPr>
        <w:rFonts w:hint="default"/>
      </w:rPr>
    </w:lvl>
    <w:lvl w:ilvl="1">
      <w:start w:val="4"/>
      <w:numFmt w:val="decimal"/>
      <w:isLgl/>
      <w:lvlText w:val="%1.%2"/>
      <w:lvlJc w:val="left"/>
      <w:pPr>
        <w:ind w:left="912" w:hanging="552"/>
      </w:pPr>
      <w:rPr>
        <w:rFonts w:cs="Times New Roman" w:hint="default"/>
        <w:u w:val="none"/>
      </w:rPr>
    </w:lvl>
    <w:lvl w:ilvl="2">
      <w:start w:val="2"/>
      <w:numFmt w:val="decimal"/>
      <w:isLgl/>
      <w:lvlText w:val="%1.%2.%3"/>
      <w:lvlJc w:val="left"/>
      <w:pPr>
        <w:ind w:left="1080" w:hanging="720"/>
      </w:pPr>
      <w:rPr>
        <w:rFonts w:cs="Times New Roman" w:hint="default"/>
        <w:u w:val="none"/>
      </w:rPr>
    </w:lvl>
    <w:lvl w:ilvl="3">
      <w:start w:val="1"/>
      <w:numFmt w:val="lowerLetter"/>
      <w:lvlText w:val="%4."/>
      <w:lvlJc w:val="left"/>
      <w:pPr>
        <w:ind w:left="1080" w:hanging="720"/>
      </w:pPr>
      <w:rPr>
        <w:rFonts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1" w15:restartNumberingAfterBreak="0">
    <w:nsid w:val="04847141"/>
    <w:multiLevelType w:val="hybridMultilevel"/>
    <w:tmpl w:val="C15C8D1E"/>
    <w:lvl w:ilvl="0" w:tplc="E384EFDA">
      <w:start w:val="1"/>
      <w:numFmt w:val="lowerLetter"/>
      <w:pStyle w:val="Einrckunga"/>
      <w:lvlText w:val="%1)"/>
      <w:lvlJc w:val="left"/>
      <w:pPr>
        <w:tabs>
          <w:tab w:val="num" w:pos="1276"/>
        </w:tabs>
        <w:ind w:left="1276" w:hanging="425"/>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C22E5E">
      <w:start w:val="1"/>
      <w:numFmt w:val="lowerRoman"/>
      <w:lvlText w:val="(%2)"/>
      <w:lvlJc w:val="left"/>
      <w:pPr>
        <w:tabs>
          <w:tab w:val="num" w:pos="1985"/>
        </w:tabs>
        <w:ind w:left="1985" w:hanging="850"/>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C240AA">
      <w:start w:val="1"/>
      <w:numFmt w:val="decimal"/>
      <w:lvlText w:val="%3."/>
      <w:lvlJc w:val="left"/>
      <w:pPr>
        <w:tabs>
          <w:tab w:val="num" w:pos="2685"/>
        </w:tabs>
        <w:ind w:left="2685" w:hanging="705"/>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97043ED"/>
    <w:multiLevelType w:val="hybridMultilevel"/>
    <w:tmpl w:val="5EB60116"/>
    <w:lvl w:ilvl="0" w:tplc="04070003">
      <w:start w:val="1"/>
      <w:numFmt w:val="bullet"/>
      <w:lvlText w:val="o"/>
      <w:lvlJc w:val="left"/>
      <w:pPr>
        <w:ind w:left="2138" w:hanging="360"/>
      </w:pPr>
      <w:rPr>
        <w:rFonts w:ascii="Courier New" w:hAnsi="Courier New" w:cs="Courier New"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3" w15:restartNumberingAfterBreak="0">
    <w:nsid w:val="0AF636C7"/>
    <w:multiLevelType w:val="hybridMultilevel"/>
    <w:tmpl w:val="1690CFC0"/>
    <w:lvl w:ilvl="0" w:tplc="0E02C85A">
      <w:start w:val="1"/>
      <w:numFmt w:val="decimal"/>
      <w:pStyle w:val="4"/>
      <w:lvlText w:val="2.1.%1"/>
      <w:lvlJc w:val="left"/>
      <w:pPr>
        <w:ind w:left="851" w:hanging="851"/>
      </w:pPr>
      <w:rPr>
        <w:rFonts w:ascii="Arial" w:hAnsi="Arial" w:hint="default"/>
        <w:b w:val="0"/>
        <w:i w:val="0"/>
        <w:caps w:val="0"/>
        <w:strike w:val="0"/>
        <w:dstrike w:val="0"/>
        <w:vanish w:val="0"/>
        <w:color w:val="auto"/>
        <w:sz w:val="22"/>
        <w:szCs w:val="22"/>
        <w:u w:val="none"/>
        <w:vertAlign w:val="baseline"/>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4" w15:restartNumberingAfterBreak="0">
    <w:nsid w:val="13A310FE"/>
    <w:multiLevelType w:val="hybridMultilevel"/>
    <w:tmpl w:val="E36C455E"/>
    <w:lvl w:ilvl="0" w:tplc="C082BB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6519A0"/>
    <w:multiLevelType w:val="hybridMultilevel"/>
    <w:tmpl w:val="A7341F88"/>
    <w:lvl w:ilvl="0" w:tplc="EB92E04C">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DF69E3"/>
    <w:multiLevelType w:val="multilevel"/>
    <w:tmpl w:val="D6AAC26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4C57A3"/>
    <w:multiLevelType w:val="hybridMultilevel"/>
    <w:tmpl w:val="C6449842"/>
    <w:lvl w:ilvl="0" w:tplc="EB92E04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C3F3A"/>
    <w:multiLevelType w:val="hybridMultilevel"/>
    <w:tmpl w:val="9002228E"/>
    <w:lvl w:ilvl="0" w:tplc="EB92E04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56E21"/>
    <w:multiLevelType w:val="hybridMultilevel"/>
    <w:tmpl w:val="57BC54AE"/>
    <w:lvl w:ilvl="0" w:tplc="BC1E612C">
      <w:start w:val="1"/>
      <w:numFmt w:val="decimal"/>
      <w:pStyle w:val="berschrift4d"/>
      <w:lvlText w:val="4.2.%1"/>
      <w:lvlJc w:val="left"/>
      <w:pPr>
        <w:ind w:left="720" w:hanging="360"/>
      </w:pPr>
      <w:rPr>
        <w:rFonts w:ascii="Arial" w:hAnsi="Arial" w:hint="default"/>
        <w:b w:val="0"/>
        <w:i w:val="0"/>
        <w:caps w:val="0"/>
        <w:strike w:val="0"/>
        <w:dstrike w:val="0"/>
        <w:vanish w:val="0"/>
        <w:color w:val="auto"/>
        <w:sz w:val="22"/>
        <w:szCs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6D6DA9"/>
    <w:multiLevelType w:val="hybridMultilevel"/>
    <w:tmpl w:val="5E00A962"/>
    <w:lvl w:ilvl="0" w:tplc="04070017">
      <w:start w:val="1"/>
      <w:numFmt w:val="lowerLetter"/>
      <w:lvlText w:val="%1)"/>
      <w:lvlJc w:val="left"/>
      <w:pPr>
        <w:ind w:left="1277" w:hanging="851"/>
      </w:pPr>
      <w:rPr>
        <w:rFonts w:hint="default"/>
        <w:b w:val="0"/>
        <w:i w:val="0"/>
        <w:caps w:val="0"/>
        <w:strike w:val="0"/>
        <w:dstrike w:val="0"/>
        <w:vanish w:val="0"/>
        <w:color w:val="auto"/>
        <w:sz w:val="22"/>
        <w:szCs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526A8B"/>
    <w:multiLevelType w:val="hybridMultilevel"/>
    <w:tmpl w:val="46382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D4800"/>
    <w:multiLevelType w:val="hybridMultilevel"/>
    <w:tmpl w:val="2996E18C"/>
    <w:lvl w:ilvl="0" w:tplc="6978A02E">
      <w:start w:val="1"/>
      <w:numFmt w:val="decimal"/>
      <w:pStyle w:val="berschrift4b"/>
      <w:lvlText w:val="3.1.%1"/>
      <w:lvlJc w:val="left"/>
      <w:pPr>
        <w:ind w:left="1146" w:hanging="360"/>
      </w:pPr>
      <w:rPr>
        <w:rFonts w:ascii="Arial" w:hAnsi="Arial" w:hint="default"/>
        <w:b w:val="0"/>
        <w:i w:val="0"/>
        <w:caps w:val="0"/>
        <w:strike w:val="0"/>
        <w:dstrike w:val="0"/>
        <w:vanish w:val="0"/>
        <w:color w:val="auto"/>
        <w:sz w:val="22"/>
        <w:szCs w:val="22"/>
        <w:u w:val="none"/>
        <w:vertAlign w:val="baseline"/>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3" w15:restartNumberingAfterBreak="0">
    <w:nsid w:val="387102DE"/>
    <w:multiLevelType w:val="multilevel"/>
    <w:tmpl w:val="AAFAB4F4"/>
    <w:lvl w:ilvl="0">
      <w:start w:val="1"/>
      <w:numFmt w:val="decimal"/>
      <w:pStyle w:val="1"/>
      <w:suff w:val="nothing"/>
      <w:lvlText w:val="Annex %1"/>
      <w:lvlJc w:val="left"/>
      <w:pPr>
        <w:ind w:left="7514" w:firstLine="0"/>
      </w:pPr>
      <w:rPr>
        <w:rFonts w:ascii="Arial" w:hAnsi="Arial" w:hint="default"/>
        <w:b/>
        <w:i w:val="0"/>
        <w:caps w:val="0"/>
        <w:strike w:val="0"/>
        <w:dstrike w:val="0"/>
        <w:vanish w:val="0"/>
        <w:color w:val="auto"/>
        <w:sz w:val="24"/>
        <w:szCs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2."/>
      <w:lvlJc w:val="left"/>
      <w:pPr>
        <w:tabs>
          <w:tab w:val="num" w:pos="851"/>
        </w:tabs>
        <w:ind w:left="851" w:hanging="851"/>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pStyle w:val="3"/>
      <w:lvlText w:val="%2.%3"/>
      <w:lvlJc w:val="left"/>
      <w:pPr>
        <w:tabs>
          <w:tab w:val="num" w:pos="851"/>
        </w:tabs>
        <w:ind w:left="851" w:hanging="851"/>
      </w:pPr>
      <w:rPr>
        <w:rFonts w:ascii="Arial"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de-D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0390348"/>
    <w:multiLevelType w:val="hybridMultilevel"/>
    <w:tmpl w:val="FE78002C"/>
    <w:lvl w:ilvl="0" w:tplc="EB92E04C">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B10DE1"/>
    <w:multiLevelType w:val="hybridMultilevel"/>
    <w:tmpl w:val="94D080EA"/>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4A54A8"/>
    <w:multiLevelType w:val="hybridMultilevel"/>
    <w:tmpl w:val="5BE00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8E7544"/>
    <w:multiLevelType w:val="hybridMultilevel"/>
    <w:tmpl w:val="0CB4D6B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8" w15:restartNumberingAfterBreak="0">
    <w:nsid w:val="4D685BD5"/>
    <w:multiLevelType w:val="hybridMultilevel"/>
    <w:tmpl w:val="8E0CF99C"/>
    <w:lvl w:ilvl="0" w:tplc="EB92E04C">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AF280D"/>
    <w:multiLevelType w:val="hybridMultilevel"/>
    <w:tmpl w:val="FE26A09C"/>
    <w:lvl w:ilvl="0" w:tplc="072C91F4">
      <w:start w:val="1"/>
      <w:numFmt w:val="decimal"/>
      <w:pStyle w:val="berschrift4c"/>
      <w:lvlText w:val="4.1.%1"/>
      <w:lvlJc w:val="left"/>
      <w:pPr>
        <w:ind w:left="720" w:hanging="360"/>
      </w:pPr>
      <w:rPr>
        <w:rFonts w:ascii="Arial" w:hAnsi="Arial" w:hint="default"/>
        <w:b w:val="0"/>
        <w:i w:val="0"/>
        <w:caps w:val="0"/>
        <w:strike w:val="0"/>
        <w:dstrike w:val="0"/>
        <w:vanish w:val="0"/>
        <w:color w:val="auto"/>
        <w:sz w:val="22"/>
        <w:szCs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DE191D"/>
    <w:multiLevelType w:val="hybridMultilevel"/>
    <w:tmpl w:val="3FFE7B88"/>
    <w:lvl w:ilvl="0" w:tplc="92D2EE6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9D4D60"/>
    <w:multiLevelType w:val="hybridMultilevel"/>
    <w:tmpl w:val="63728A9A"/>
    <w:lvl w:ilvl="0" w:tplc="EB92E04C">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8DF5C32"/>
    <w:multiLevelType w:val="hybridMultilevel"/>
    <w:tmpl w:val="86F85D28"/>
    <w:lvl w:ilvl="0" w:tplc="A4C22E5E">
      <w:start w:val="1"/>
      <w:numFmt w:val="lowerRoman"/>
      <w:pStyle w:val="Einrckungi"/>
      <w:lvlText w:val="(%1)"/>
      <w:lvlJc w:val="left"/>
      <w:pPr>
        <w:tabs>
          <w:tab w:val="num" w:pos="1843"/>
        </w:tabs>
        <w:ind w:left="1843"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tabs>
          <w:tab w:val="num" w:pos="1015"/>
        </w:tabs>
        <w:ind w:left="1015" w:hanging="360"/>
      </w:pPr>
    </w:lvl>
    <w:lvl w:ilvl="2" w:tplc="0407001B">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23" w15:restartNumberingAfterBreak="0">
    <w:nsid w:val="7DB446FB"/>
    <w:multiLevelType w:val="hybridMultilevel"/>
    <w:tmpl w:val="5D1A1A54"/>
    <w:lvl w:ilvl="0" w:tplc="8E7CBC64">
      <w:start w:val="1"/>
      <w:numFmt w:val="decimal"/>
      <w:pStyle w:val="berschrift4a"/>
      <w:lvlText w:val="2.3.%1"/>
      <w:lvlJc w:val="left"/>
      <w:pPr>
        <w:ind w:left="1277" w:hanging="851"/>
      </w:pPr>
      <w:rPr>
        <w:rFonts w:ascii="Arial" w:hAnsi="Arial" w:hint="default"/>
        <w:b w:val="0"/>
        <w:i w:val="0"/>
        <w:caps w:val="0"/>
        <w:strike w:val="0"/>
        <w:dstrike w:val="0"/>
        <w:vanish w:val="0"/>
        <w:color w:val="auto"/>
        <w:sz w:val="22"/>
        <w:szCs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
  </w:num>
  <w:num w:numId="5">
    <w:abstractNumId w:val="22"/>
  </w:num>
  <w:num w:numId="6">
    <w:abstractNumId w:val="13"/>
  </w:num>
  <w:num w:numId="7">
    <w:abstractNumId w:val="3"/>
  </w:num>
  <w:num w:numId="8">
    <w:abstractNumId w:val="23"/>
  </w:num>
  <w:num w:numId="9">
    <w:abstractNumId w:val="1"/>
    <w:lvlOverride w:ilvl="0">
      <w:startOverride w:val="1"/>
    </w:lvlOverride>
  </w:num>
  <w:num w:numId="10">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
    <w:lvlOverride w:ilvl="0">
      <w:startOverride w:val="1"/>
    </w:lvlOverride>
  </w:num>
  <w:num w:numId="15">
    <w:abstractNumId w:val="2"/>
  </w:num>
  <w:num w:numId="16">
    <w:abstractNumId w:val="17"/>
  </w:num>
  <w:num w:numId="17">
    <w:abstractNumId w:val="9"/>
  </w:num>
  <w:num w:numId="18">
    <w:abstractNumId w:val="5"/>
  </w:num>
  <w:num w:numId="19">
    <w:abstractNumId w:val="14"/>
  </w:num>
  <w:num w:numId="20">
    <w:abstractNumId w:val="18"/>
  </w:num>
  <w:num w:numId="21">
    <w:abstractNumId w:val="21"/>
  </w:num>
  <w:num w:numId="22">
    <w:abstractNumId w:val="20"/>
  </w:num>
  <w:num w:numId="23">
    <w:abstractNumId w:val="8"/>
  </w:num>
  <w:num w:numId="24">
    <w:abstractNumId w:val="7"/>
  </w:num>
  <w:num w:numId="25">
    <w:abstractNumId w:val="15"/>
  </w:num>
  <w:num w:numId="26">
    <w:abstractNumId w:val="11"/>
  </w:num>
  <w:num w:numId="27">
    <w:abstractNumId w:val="10"/>
  </w:num>
  <w:num w:numId="28">
    <w:abstractNumId w:val="1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6"/>
  </w:num>
  <w:num w:numId="32">
    <w:abstractNumId w:val="0"/>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F1"/>
    <w:rsid w:val="00001810"/>
    <w:rsid w:val="0000365D"/>
    <w:rsid w:val="000040C2"/>
    <w:rsid w:val="00006940"/>
    <w:rsid w:val="00030B87"/>
    <w:rsid w:val="00031CFE"/>
    <w:rsid w:val="00034B03"/>
    <w:rsid w:val="00050F31"/>
    <w:rsid w:val="0006672A"/>
    <w:rsid w:val="00076620"/>
    <w:rsid w:val="000B1D21"/>
    <w:rsid w:val="000D6E0C"/>
    <w:rsid w:val="000D7F9D"/>
    <w:rsid w:val="000E45DF"/>
    <w:rsid w:val="000F2104"/>
    <w:rsid w:val="00100EE6"/>
    <w:rsid w:val="001043EC"/>
    <w:rsid w:val="00106C97"/>
    <w:rsid w:val="001274EF"/>
    <w:rsid w:val="00132D4F"/>
    <w:rsid w:val="00136B27"/>
    <w:rsid w:val="00153CA9"/>
    <w:rsid w:val="0015439C"/>
    <w:rsid w:val="0016596B"/>
    <w:rsid w:val="00177163"/>
    <w:rsid w:val="00177967"/>
    <w:rsid w:val="00177BE5"/>
    <w:rsid w:val="00180756"/>
    <w:rsid w:val="001835A1"/>
    <w:rsid w:val="00191552"/>
    <w:rsid w:val="0019543C"/>
    <w:rsid w:val="001A1420"/>
    <w:rsid w:val="001A6CBE"/>
    <w:rsid w:val="001B0460"/>
    <w:rsid w:val="001B2B16"/>
    <w:rsid w:val="001B4BEF"/>
    <w:rsid w:val="001B4E41"/>
    <w:rsid w:val="001D30BF"/>
    <w:rsid w:val="001D4429"/>
    <w:rsid w:val="001D65A0"/>
    <w:rsid w:val="001E5AFA"/>
    <w:rsid w:val="001E6EB7"/>
    <w:rsid w:val="001F2D62"/>
    <w:rsid w:val="001F5C4E"/>
    <w:rsid w:val="001F5C95"/>
    <w:rsid w:val="00212D39"/>
    <w:rsid w:val="00235F9E"/>
    <w:rsid w:val="002408A6"/>
    <w:rsid w:val="00251E33"/>
    <w:rsid w:val="002617A5"/>
    <w:rsid w:val="00263E5F"/>
    <w:rsid w:val="00266ED0"/>
    <w:rsid w:val="002676DA"/>
    <w:rsid w:val="0027314E"/>
    <w:rsid w:val="002A74E6"/>
    <w:rsid w:val="002C3F57"/>
    <w:rsid w:val="002D506C"/>
    <w:rsid w:val="002E79F6"/>
    <w:rsid w:val="002F2375"/>
    <w:rsid w:val="002F333B"/>
    <w:rsid w:val="002F6474"/>
    <w:rsid w:val="00312474"/>
    <w:rsid w:val="003456BF"/>
    <w:rsid w:val="0036266C"/>
    <w:rsid w:val="00383CE3"/>
    <w:rsid w:val="00393874"/>
    <w:rsid w:val="003A3559"/>
    <w:rsid w:val="003B3462"/>
    <w:rsid w:val="003B7F71"/>
    <w:rsid w:val="003F2666"/>
    <w:rsid w:val="00417F05"/>
    <w:rsid w:val="004276C3"/>
    <w:rsid w:val="00430926"/>
    <w:rsid w:val="00457B51"/>
    <w:rsid w:val="00464A0E"/>
    <w:rsid w:val="00480DE5"/>
    <w:rsid w:val="004826C9"/>
    <w:rsid w:val="004A595C"/>
    <w:rsid w:val="004A6D32"/>
    <w:rsid w:val="004C6054"/>
    <w:rsid w:val="004D411C"/>
    <w:rsid w:val="004E1656"/>
    <w:rsid w:val="004F06E6"/>
    <w:rsid w:val="004F175E"/>
    <w:rsid w:val="004F34FD"/>
    <w:rsid w:val="004F4E77"/>
    <w:rsid w:val="00502134"/>
    <w:rsid w:val="00502310"/>
    <w:rsid w:val="00507DCF"/>
    <w:rsid w:val="00511BA0"/>
    <w:rsid w:val="0054698D"/>
    <w:rsid w:val="00557B71"/>
    <w:rsid w:val="005611D8"/>
    <w:rsid w:val="0056534F"/>
    <w:rsid w:val="00582DC1"/>
    <w:rsid w:val="00586F08"/>
    <w:rsid w:val="005944BF"/>
    <w:rsid w:val="005A103C"/>
    <w:rsid w:val="005B31E9"/>
    <w:rsid w:val="005B6695"/>
    <w:rsid w:val="005B70AB"/>
    <w:rsid w:val="005C7675"/>
    <w:rsid w:val="005D2B64"/>
    <w:rsid w:val="005E1990"/>
    <w:rsid w:val="005E259B"/>
    <w:rsid w:val="005F0A27"/>
    <w:rsid w:val="005F0A75"/>
    <w:rsid w:val="005F2488"/>
    <w:rsid w:val="005F71B4"/>
    <w:rsid w:val="0060497B"/>
    <w:rsid w:val="006049C5"/>
    <w:rsid w:val="00605BE7"/>
    <w:rsid w:val="0061376F"/>
    <w:rsid w:val="00621F31"/>
    <w:rsid w:val="006240B7"/>
    <w:rsid w:val="00625C46"/>
    <w:rsid w:val="00626846"/>
    <w:rsid w:val="006529A6"/>
    <w:rsid w:val="0065772A"/>
    <w:rsid w:val="006714F7"/>
    <w:rsid w:val="006854BB"/>
    <w:rsid w:val="00691995"/>
    <w:rsid w:val="006A2619"/>
    <w:rsid w:val="006A2D1D"/>
    <w:rsid w:val="006A4109"/>
    <w:rsid w:val="006C31BC"/>
    <w:rsid w:val="006C3D3B"/>
    <w:rsid w:val="006D6C67"/>
    <w:rsid w:val="006E23A6"/>
    <w:rsid w:val="006E595A"/>
    <w:rsid w:val="006F72B6"/>
    <w:rsid w:val="00700E9F"/>
    <w:rsid w:val="0070251E"/>
    <w:rsid w:val="0070270D"/>
    <w:rsid w:val="00703F75"/>
    <w:rsid w:val="00717D1A"/>
    <w:rsid w:val="007326DD"/>
    <w:rsid w:val="00747E49"/>
    <w:rsid w:val="00751918"/>
    <w:rsid w:val="007908F4"/>
    <w:rsid w:val="007B5CFB"/>
    <w:rsid w:val="007C1579"/>
    <w:rsid w:val="007D5DF9"/>
    <w:rsid w:val="007E305C"/>
    <w:rsid w:val="00803EB1"/>
    <w:rsid w:val="00807F2B"/>
    <w:rsid w:val="00815BC4"/>
    <w:rsid w:val="00817101"/>
    <w:rsid w:val="00833472"/>
    <w:rsid w:val="00842003"/>
    <w:rsid w:val="0087333B"/>
    <w:rsid w:val="00892F4C"/>
    <w:rsid w:val="00895795"/>
    <w:rsid w:val="008969C9"/>
    <w:rsid w:val="008B5187"/>
    <w:rsid w:val="008E6BC4"/>
    <w:rsid w:val="008F3BA1"/>
    <w:rsid w:val="008F5C3C"/>
    <w:rsid w:val="00901D68"/>
    <w:rsid w:val="009053CA"/>
    <w:rsid w:val="00912EE4"/>
    <w:rsid w:val="0091324C"/>
    <w:rsid w:val="00920C2C"/>
    <w:rsid w:val="00936C49"/>
    <w:rsid w:val="00952F47"/>
    <w:rsid w:val="009620B0"/>
    <w:rsid w:val="00983D19"/>
    <w:rsid w:val="009A4057"/>
    <w:rsid w:val="009A4BFF"/>
    <w:rsid w:val="009B7B9A"/>
    <w:rsid w:val="009C6440"/>
    <w:rsid w:val="009F58FF"/>
    <w:rsid w:val="00A32443"/>
    <w:rsid w:val="00A47447"/>
    <w:rsid w:val="00A632CC"/>
    <w:rsid w:val="00A85CE5"/>
    <w:rsid w:val="00A9116C"/>
    <w:rsid w:val="00A933ED"/>
    <w:rsid w:val="00AD3438"/>
    <w:rsid w:val="00AE64FA"/>
    <w:rsid w:val="00AF088A"/>
    <w:rsid w:val="00AF37C4"/>
    <w:rsid w:val="00AF4FC1"/>
    <w:rsid w:val="00B4383C"/>
    <w:rsid w:val="00B44EFB"/>
    <w:rsid w:val="00B55C35"/>
    <w:rsid w:val="00B63E55"/>
    <w:rsid w:val="00B91C4F"/>
    <w:rsid w:val="00B9618C"/>
    <w:rsid w:val="00BA2772"/>
    <w:rsid w:val="00BC2DC5"/>
    <w:rsid w:val="00BD6D7D"/>
    <w:rsid w:val="00C01820"/>
    <w:rsid w:val="00C104E6"/>
    <w:rsid w:val="00C109CF"/>
    <w:rsid w:val="00C1560D"/>
    <w:rsid w:val="00C30BCA"/>
    <w:rsid w:val="00C7712E"/>
    <w:rsid w:val="00C772CB"/>
    <w:rsid w:val="00C8132E"/>
    <w:rsid w:val="00C85BE9"/>
    <w:rsid w:val="00C8627A"/>
    <w:rsid w:val="00C870F9"/>
    <w:rsid w:val="00CA24BC"/>
    <w:rsid w:val="00CC393A"/>
    <w:rsid w:val="00CC786F"/>
    <w:rsid w:val="00CD1E9F"/>
    <w:rsid w:val="00CD4778"/>
    <w:rsid w:val="00CE1A2A"/>
    <w:rsid w:val="00CE2C46"/>
    <w:rsid w:val="00CE6653"/>
    <w:rsid w:val="00CF0A51"/>
    <w:rsid w:val="00D26271"/>
    <w:rsid w:val="00D35B98"/>
    <w:rsid w:val="00D36782"/>
    <w:rsid w:val="00D53095"/>
    <w:rsid w:val="00D71DE5"/>
    <w:rsid w:val="00D764E1"/>
    <w:rsid w:val="00D80E00"/>
    <w:rsid w:val="00D91186"/>
    <w:rsid w:val="00DA2F52"/>
    <w:rsid w:val="00DA3E55"/>
    <w:rsid w:val="00DB3206"/>
    <w:rsid w:val="00DD0A67"/>
    <w:rsid w:val="00DD666B"/>
    <w:rsid w:val="00DF55F1"/>
    <w:rsid w:val="00E20E7E"/>
    <w:rsid w:val="00E33D4B"/>
    <w:rsid w:val="00E440A1"/>
    <w:rsid w:val="00E44AE3"/>
    <w:rsid w:val="00E4549F"/>
    <w:rsid w:val="00E470D0"/>
    <w:rsid w:val="00E67EF5"/>
    <w:rsid w:val="00E70CC0"/>
    <w:rsid w:val="00E81352"/>
    <w:rsid w:val="00E84F2B"/>
    <w:rsid w:val="00E942C5"/>
    <w:rsid w:val="00E952C9"/>
    <w:rsid w:val="00E96A35"/>
    <w:rsid w:val="00E97AE7"/>
    <w:rsid w:val="00EA1315"/>
    <w:rsid w:val="00EB47AF"/>
    <w:rsid w:val="00EB7AF4"/>
    <w:rsid w:val="00ED1BDA"/>
    <w:rsid w:val="00EE5AFE"/>
    <w:rsid w:val="00EF2307"/>
    <w:rsid w:val="00F27364"/>
    <w:rsid w:val="00F27842"/>
    <w:rsid w:val="00F27B47"/>
    <w:rsid w:val="00F37388"/>
    <w:rsid w:val="00F50E2B"/>
    <w:rsid w:val="00F5519D"/>
    <w:rsid w:val="00F601BC"/>
    <w:rsid w:val="00F64C2C"/>
    <w:rsid w:val="00F800D4"/>
    <w:rsid w:val="00F84743"/>
    <w:rsid w:val="00F86151"/>
    <w:rsid w:val="00FA18FF"/>
    <w:rsid w:val="00FA23C2"/>
    <w:rsid w:val="00FA69A3"/>
    <w:rsid w:val="00FB29DF"/>
    <w:rsid w:val="00FB6EEE"/>
    <w:rsid w:val="00FE5CE5"/>
    <w:rsid w:val="00FF2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2DE7"/>
  <w15:chartTrackingRefBased/>
  <w15:docId w15:val="{7E9E2A9D-21A3-48C7-8F38-27CB172C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C46"/>
    <w:pPr>
      <w:spacing w:before="120" w:after="240" w:line="320" w:lineRule="exact"/>
      <w:jc w:val="both"/>
    </w:pPr>
    <w:rPr>
      <w:rFonts w:ascii="Arial" w:eastAsia="Times New Roman" w:hAnsi="Arial" w:cs="Times New Roman"/>
      <w:szCs w:val="20"/>
      <w:lang w:val="de-DE"/>
    </w:rPr>
  </w:style>
  <w:style w:type="paragraph" w:styleId="1">
    <w:name w:val="heading 1"/>
    <w:basedOn w:val="a"/>
    <w:next w:val="a"/>
    <w:link w:val="10"/>
    <w:qFormat/>
    <w:rsid w:val="00625C46"/>
    <w:pPr>
      <w:numPr>
        <w:numId w:val="1"/>
      </w:numPr>
      <w:jc w:val="right"/>
      <w:outlineLvl w:val="0"/>
    </w:pPr>
    <w:rPr>
      <w:b/>
      <w:u w:val="single"/>
    </w:rPr>
  </w:style>
  <w:style w:type="paragraph" w:styleId="2">
    <w:name w:val="heading 2"/>
    <w:basedOn w:val="a"/>
    <w:next w:val="a"/>
    <w:link w:val="20"/>
    <w:qFormat/>
    <w:rsid w:val="00625C46"/>
    <w:pPr>
      <w:numPr>
        <w:ilvl w:val="1"/>
        <w:numId w:val="1"/>
      </w:numPr>
      <w:spacing w:before="480"/>
      <w:outlineLvl w:val="1"/>
    </w:pPr>
    <w:rPr>
      <w:b/>
    </w:rPr>
  </w:style>
  <w:style w:type="paragraph" w:styleId="3">
    <w:name w:val="heading 3"/>
    <w:basedOn w:val="a"/>
    <w:next w:val="a"/>
    <w:link w:val="30"/>
    <w:qFormat/>
    <w:rsid w:val="00625C46"/>
    <w:pPr>
      <w:numPr>
        <w:ilvl w:val="2"/>
        <w:numId w:val="1"/>
      </w:numPr>
      <w:spacing w:before="480"/>
      <w:outlineLvl w:val="2"/>
    </w:pPr>
  </w:style>
  <w:style w:type="paragraph" w:styleId="4">
    <w:name w:val="heading 4"/>
    <w:basedOn w:val="a"/>
    <w:next w:val="a"/>
    <w:link w:val="40"/>
    <w:qFormat/>
    <w:rsid w:val="00625C46"/>
    <w:pPr>
      <w:keepNext/>
      <w:numPr>
        <w:numId w:val="7"/>
      </w:numPr>
      <w:outlineLvl w:val="3"/>
    </w:pPr>
  </w:style>
  <w:style w:type="paragraph" w:styleId="5">
    <w:name w:val="heading 5"/>
    <w:basedOn w:val="a"/>
    <w:next w:val="a"/>
    <w:link w:val="50"/>
    <w:qFormat/>
    <w:rsid w:val="00625C46"/>
    <w:pPr>
      <w:spacing w:before="240" w:after="60"/>
      <w:outlineLvl w:val="4"/>
    </w:pPr>
    <w:rPr>
      <w:b/>
      <w:bCs/>
      <w:i/>
      <w:iCs/>
      <w:sz w:val="26"/>
      <w:szCs w:val="26"/>
    </w:rPr>
  </w:style>
  <w:style w:type="paragraph" w:styleId="6">
    <w:name w:val="heading 6"/>
    <w:basedOn w:val="a"/>
    <w:next w:val="a"/>
    <w:link w:val="60"/>
    <w:qFormat/>
    <w:rsid w:val="00625C46"/>
    <w:pPr>
      <w:spacing w:before="240" w:after="60"/>
      <w:outlineLvl w:val="5"/>
    </w:pPr>
    <w:rPr>
      <w:b/>
      <w:bCs/>
      <w:szCs w:val="22"/>
    </w:rPr>
  </w:style>
  <w:style w:type="paragraph" w:styleId="7">
    <w:name w:val="heading 7"/>
    <w:basedOn w:val="a"/>
    <w:next w:val="a"/>
    <w:link w:val="70"/>
    <w:qFormat/>
    <w:rsid w:val="00625C46"/>
    <w:pPr>
      <w:spacing w:before="240" w:after="60"/>
      <w:outlineLvl w:val="6"/>
    </w:pPr>
    <w:rPr>
      <w:szCs w:val="24"/>
    </w:rPr>
  </w:style>
  <w:style w:type="paragraph" w:styleId="8">
    <w:name w:val="heading 8"/>
    <w:basedOn w:val="a"/>
    <w:next w:val="a"/>
    <w:link w:val="80"/>
    <w:qFormat/>
    <w:rsid w:val="00625C46"/>
    <w:pPr>
      <w:spacing w:before="240" w:after="60"/>
      <w:outlineLvl w:val="7"/>
    </w:pPr>
    <w:rPr>
      <w:i/>
      <w:iCs/>
      <w:szCs w:val="24"/>
    </w:rPr>
  </w:style>
  <w:style w:type="paragraph" w:styleId="9">
    <w:name w:val="heading 9"/>
    <w:basedOn w:val="a"/>
    <w:next w:val="a"/>
    <w:link w:val="90"/>
    <w:qFormat/>
    <w:rsid w:val="00625C46"/>
    <w:pPr>
      <w:spacing w:before="240" w:after="60"/>
      <w:outlineLvl w:val="8"/>
    </w:pPr>
    <w:rPr>
      <w:rFonts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rsid w:val="00625C46"/>
    <w:rPr>
      <w:rFonts w:ascii="Arial" w:eastAsia="Times New Roman" w:hAnsi="Arial" w:cs="Times New Roman"/>
      <w:b/>
      <w:szCs w:val="20"/>
      <w:u w:val="single"/>
      <w:lang w:val="de-DE"/>
    </w:rPr>
  </w:style>
  <w:style w:type="character" w:customStyle="1" w:styleId="20">
    <w:name w:val="Заголовок 2 Знак"/>
    <w:basedOn w:val="a0"/>
    <w:link w:val="2"/>
    <w:rsid w:val="00625C46"/>
    <w:rPr>
      <w:rFonts w:ascii="Arial" w:eastAsia="Times New Roman" w:hAnsi="Arial" w:cs="Times New Roman"/>
      <w:b/>
      <w:szCs w:val="20"/>
      <w:lang w:val="de-DE"/>
    </w:rPr>
  </w:style>
  <w:style w:type="character" w:customStyle="1" w:styleId="30">
    <w:name w:val="Заголовок 3 Знак"/>
    <w:basedOn w:val="a0"/>
    <w:link w:val="3"/>
    <w:rsid w:val="00625C46"/>
    <w:rPr>
      <w:rFonts w:ascii="Arial" w:eastAsia="Times New Roman" w:hAnsi="Arial" w:cs="Times New Roman"/>
      <w:szCs w:val="20"/>
      <w:lang w:val="de-DE"/>
    </w:rPr>
  </w:style>
  <w:style w:type="character" w:customStyle="1" w:styleId="40">
    <w:name w:val="Заголовок 4 Знак"/>
    <w:basedOn w:val="a0"/>
    <w:link w:val="4"/>
    <w:rsid w:val="00625C46"/>
    <w:rPr>
      <w:rFonts w:ascii="Arial" w:eastAsia="Times New Roman" w:hAnsi="Arial" w:cs="Times New Roman"/>
      <w:szCs w:val="20"/>
      <w:lang w:val="de-DE"/>
    </w:rPr>
  </w:style>
  <w:style w:type="character" w:customStyle="1" w:styleId="50">
    <w:name w:val="Заголовок 5 Знак"/>
    <w:basedOn w:val="a0"/>
    <w:link w:val="5"/>
    <w:rsid w:val="00625C46"/>
    <w:rPr>
      <w:rFonts w:ascii="Arial" w:eastAsia="Times New Roman" w:hAnsi="Arial" w:cs="Times New Roman"/>
      <w:b/>
      <w:bCs/>
      <w:i/>
      <w:iCs/>
      <w:sz w:val="26"/>
      <w:szCs w:val="26"/>
      <w:lang w:val="de-DE"/>
    </w:rPr>
  </w:style>
  <w:style w:type="character" w:customStyle="1" w:styleId="60">
    <w:name w:val="Заголовок 6 Знак"/>
    <w:basedOn w:val="a0"/>
    <w:link w:val="6"/>
    <w:rsid w:val="00625C46"/>
    <w:rPr>
      <w:rFonts w:ascii="Arial" w:eastAsia="Times New Roman" w:hAnsi="Arial" w:cs="Times New Roman"/>
      <w:b/>
      <w:bCs/>
      <w:lang w:val="de-DE"/>
    </w:rPr>
  </w:style>
  <w:style w:type="character" w:customStyle="1" w:styleId="70">
    <w:name w:val="Заголовок 7 Знак"/>
    <w:basedOn w:val="a0"/>
    <w:link w:val="7"/>
    <w:rsid w:val="00625C46"/>
    <w:rPr>
      <w:rFonts w:ascii="Arial" w:eastAsia="Times New Roman" w:hAnsi="Arial" w:cs="Times New Roman"/>
      <w:szCs w:val="24"/>
      <w:lang w:val="de-DE"/>
    </w:rPr>
  </w:style>
  <w:style w:type="character" w:customStyle="1" w:styleId="80">
    <w:name w:val="Заголовок 8 Знак"/>
    <w:basedOn w:val="a0"/>
    <w:link w:val="8"/>
    <w:rsid w:val="00625C46"/>
    <w:rPr>
      <w:rFonts w:ascii="Arial" w:eastAsia="Times New Roman" w:hAnsi="Arial" w:cs="Times New Roman"/>
      <w:i/>
      <w:iCs/>
      <w:szCs w:val="24"/>
      <w:lang w:val="de-DE"/>
    </w:rPr>
  </w:style>
  <w:style w:type="character" w:customStyle="1" w:styleId="90">
    <w:name w:val="Заголовок 9 Знак"/>
    <w:basedOn w:val="a0"/>
    <w:link w:val="9"/>
    <w:rsid w:val="00625C46"/>
    <w:rPr>
      <w:rFonts w:ascii="Arial" w:eastAsia="Times New Roman" w:hAnsi="Arial" w:cs="Arial"/>
      <w:lang w:val="de-DE"/>
    </w:rPr>
  </w:style>
  <w:style w:type="paragraph" w:customStyle="1" w:styleId="anrede">
    <w:name w:val="anrede"/>
    <w:basedOn w:val="a"/>
    <w:next w:val="a"/>
    <w:rsid w:val="00625C46"/>
  </w:style>
  <w:style w:type="paragraph" w:customStyle="1" w:styleId="betreff">
    <w:name w:val="betreff"/>
    <w:basedOn w:val="a"/>
    <w:next w:val="anrede"/>
    <w:rsid w:val="00625C46"/>
    <w:pPr>
      <w:spacing w:after="480"/>
      <w:ind w:left="1276" w:hanging="1276"/>
    </w:pPr>
    <w:rPr>
      <w:b/>
    </w:rPr>
  </w:style>
  <w:style w:type="paragraph" w:customStyle="1" w:styleId="briefkopf">
    <w:name w:val="briefkopf"/>
    <w:basedOn w:val="a"/>
    <w:rsid w:val="00625C46"/>
    <w:pPr>
      <w:spacing w:before="1440" w:after="1200" w:line="240" w:lineRule="exact"/>
    </w:pPr>
  </w:style>
  <w:style w:type="paragraph" w:customStyle="1" w:styleId="Einrckunga">
    <w:name w:val="Einrückung a)"/>
    <w:basedOn w:val="a"/>
    <w:next w:val="a"/>
    <w:rsid w:val="00625C46"/>
    <w:pPr>
      <w:numPr>
        <w:numId w:val="3"/>
      </w:numPr>
      <w:tabs>
        <w:tab w:val="num" w:pos="1418"/>
      </w:tabs>
      <w:spacing w:before="360"/>
      <w:ind w:left="851" w:hanging="851"/>
    </w:pPr>
  </w:style>
  <w:style w:type="paragraph" w:customStyle="1" w:styleId="Einrckungi">
    <w:name w:val="Einrückung (i)"/>
    <w:basedOn w:val="a"/>
    <w:next w:val="a"/>
    <w:rsid w:val="00625C46"/>
    <w:pPr>
      <w:numPr>
        <w:numId w:val="5"/>
      </w:numPr>
      <w:spacing w:before="240"/>
      <w:ind w:left="1418"/>
    </w:pPr>
  </w:style>
  <w:style w:type="paragraph" w:customStyle="1" w:styleId="Einrckungzua">
    <w:name w:val="Einrückung zu a)"/>
    <w:basedOn w:val="a"/>
    <w:next w:val="a"/>
    <w:rsid w:val="00625C46"/>
    <w:pPr>
      <w:ind w:left="1276"/>
    </w:pPr>
  </w:style>
  <w:style w:type="paragraph" w:styleId="a3">
    <w:name w:val="footer"/>
    <w:basedOn w:val="a"/>
    <w:link w:val="a4"/>
    <w:uiPriority w:val="99"/>
    <w:rsid w:val="00625C46"/>
    <w:rPr>
      <w:sz w:val="20"/>
    </w:rPr>
  </w:style>
  <w:style w:type="character" w:customStyle="1" w:styleId="a4">
    <w:name w:val="Нижний колонтитул Знак"/>
    <w:basedOn w:val="a0"/>
    <w:link w:val="a3"/>
    <w:uiPriority w:val="99"/>
    <w:rsid w:val="00625C46"/>
    <w:rPr>
      <w:rFonts w:ascii="Arial" w:eastAsia="Times New Roman" w:hAnsi="Arial" w:cs="Times New Roman"/>
      <w:sz w:val="20"/>
      <w:szCs w:val="20"/>
      <w:lang w:val="de-DE"/>
    </w:rPr>
  </w:style>
  <w:style w:type="paragraph" w:styleId="a5">
    <w:name w:val="header"/>
    <w:basedOn w:val="a"/>
    <w:link w:val="a6"/>
    <w:uiPriority w:val="99"/>
    <w:rsid w:val="00625C46"/>
    <w:pPr>
      <w:spacing w:line="240" w:lineRule="auto"/>
    </w:pPr>
    <w:rPr>
      <w:sz w:val="20"/>
    </w:rPr>
  </w:style>
  <w:style w:type="character" w:customStyle="1" w:styleId="a6">
    <w:name w:val="Верхний колонтитул Знак"/>
    <w:basedOn w:val="a0"/>
    <w:link w:val="a5"/>
    <w:uiPriority w:val="99"/>
    <w:rsid w:val="00625C46"/>
    <w:rPr>
      <w:rFonts w:ascii="Arial" w:eastAsia="Times New Roman" w:hAnsi="Arial" w:cs="Times New Roman"/>
      <w:sz w:val="20"/>
      <w:szCs w:val="20"/>
      <w:lang w:val="de-DE"/>
    </w:rPr>
  </w:style>
  <w:style w:type="character" w:styleId="a7">
    <w:name w:val="page number"/>
    <w:rsid w:val="00625C46"/>
    <w:rPr>
      <w:rFonts w:ascii="Arial" w:hAnsi="Arial"/>
      <w:sz w:val="20"/>
    </w:rPr>
  </w:style>
  <w:style w:type="paragraph" w:styleId="a8">
    <w:name w:val="Balloon Text"/>
    <w:basedOn w:val="a"/>
    <w:link w:val="a9"/>
    <w:semiHidden/>
    <w:rsid w:val="00625C46"/>
    <w:rPr>
      <w:rFonts w:ascii="Tahoma" w:hAnsi="Tahoma" w:cs="Tahoma"/>
      <w:sz w:val="16"/>
      <w:szCs w:val="16"/>
    </w:rPr>
  </w:style>
  <w:style w:type="character" w:customStyle="1" w:styleId="a9">
    <w:name w:val="Текст выноски Знак"/>
    <w:basedOn w:val="a0"/>
    <w:link w:val="a8"/>
    <w:semiHidden/>
    <w:rsid w:val="00625C46"/>
    <w:rPr>
      <w:rFonts w:ascii="Tahoma" w:eastAsia="Times New Roman" w:hAnsi="Tahoma" w:cs="Tahoma"/>
      <w:sz w:val="16"/>
      <w:szCs w:val="16"/>
      <w:lang w:val="de-DE"/>
    </w:rPr>
  </w:style>
  <w:style w:type="paragraph" w:styleId="aa">
    <w:name w:val="Normal Indent"/>
    <w:basedOn w:val="a"/>
    <w:rsid w:val="00625C46"/>
    <w:pPr>
      <w:ind w:left="708"/>
    </w:pPr>
  </w:style>
  <w:style w:type="table" w:styleId="ab">
    <w:name w:val="Table Grid"/>
    <w:basedOn w:val="a1"/>
    <w:rsid w:val="00625C46"/>
    <w:pPr>
      <w:spacing w:after="0" w:line="240" w:lineRule="auto"/>
    </w:pPr>
    <w:rPr>
      <w:rFonts w:ascii="Arial" w:eastAsia="Times New Roman" w:hAnsi="Arial"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hidden/>
    </w:trPr>
  </w:style>
  <w:style w:type="paragraph" w:customStyle="1" w:styleId="TextfrKfW">
    <w:name w:val="Text für KfW"/>
    <w:basedOn w:val="a"/>
    <w:rsid w:val="00625C46"/>
    <w:pPr>
      <w:tabs>
        <w:tab w:val="left" w:pos="851"/>
        <w:tab w:val="left" w:pos="1418"/>
        <w:tab w:val="left" w:pos="2127"/>
      </w:tabs>
      <w:spacing w:line="360" w:lineRule="atLeast"/>
    </w:pPr>
  </w:style>
  <w:style w:type="character" w:styleId="ac">
    <w:name w:val="FollowedHyperlink"/>
    <w:rsid w:val="00625C46"/>
    <w:rPr>
      <w:rFonts w:ascii="Arial" w:hAnsi="Arial"/>
      <w:color w:val="0000FF"/>
      <w:sz w:val="20"/>
      <w:u w:val="single"/>
    </w:rPr>
  </w:style>
  <w:style w:type="character" w:styleId="ad">
    <w:name w:val="Strong"/>
    <w:qFormat/>
    <w:rsid w:val="00625C46"/>
    <w:rPr>
      <w:rFonts w:ascii="Arial" w:hAnsi="Arial"/>
      <w:b/>
      <w:bCs/>
      <w:sz w:val="22"/>
    </w:rPr>
  </w:style>
  <w:style w:type="character" w:styleId="ae">
    <w:name w:val="Hyperlink"/>
    <w:uiPriority w:val="99"/>
    <w:rsid w:val="00625C46"/>
    <w:rPr>
      <w:rFonts w:ascii="Arial" w:hAnsi="Arial"/>
      <w:color w:val="0000FF"/>
      <w:sz w:val="20"/>
      <w:u w:val="single"/>
    </w:rPr>
  </w:style>
  <w:style w:type="paragraph" w:styleId="af">
    <w:name w:val="E-mail Signature"/>
    <w:basedOn w:val="a"/>
    <w:next w:val="a"/>
    <w:link w:val="af0"/>
    <w:rsid w:val="00625C46"/>
  </w:style>
  <w:style w:type="character" w:customStyle="1" w:styleId="af0">
    <w:name w:val="Электронная подпись Знак"/>
    <w:basedOn w:val="a0"/>
    <w:link w:val="af"/>
    <w:rsid w:val="00625C46"/>
    <w:rPr>
      <w:rFonts w:ascii="Arial" w:eastAsia="Times New Roman" w:hAnsi="Arial" w:cs="Times New Roman"/>
      <w:szCs w:val="20"/>
      <w:lang w:val="de-DE"/>
    </w:rPr>
  </w:style>
  <w:style w:type="paragraph" w:styleId="af1">
    <w:name w:val="Normal (Web)"/>
    <w:basedOn w:val="a"/>
    <w:rsid w:val="00625C46"/>
    <w:rPr>
      <w:sz w:val="20"/>
      <w:szCs w:val="24"/>
    </w:rPr>
  </w:style>
  <w:style w:type="character" w:styleId="af2">
    <w:name w:val="line number"/>
    <w:rsid w:val="00625C46"/>
    <w:rPr>
      <w:rFonts w:ascii="Arial" w:hAnsi="Arial"/>
      <w:sz w:val="20"/>
    </w:rPr>
  </w:style>
  <w:style w:type="paragraph" w:customStyle="1" w:styleId="Arbeitsanweisung">
    <w:name w:val="Arbeitsanweisung"/>
    <w:basedOn w:val="a"/>
    <w:link w:val="ArbeitsanweisungChar"/>
    <w:rsid w:val="00625C46"/>
    <w:pPr>
      <w:shd w:val="clear" w:color="auto" w:fill="CCFFFF"/>
    </w:pPr>
    <w:rPr>
      <w:b/>
      <w:vanish/>
      <w:u w:val="dotted"/>
    </w:rPr>
  </w:style>
  <w:style w:type="character" w:customStyle="1" w:styleId="ArbeitsanweisungChar">
    <w:name w:val="Arbeitsanweisung Char"/>
    <w:link w:val="Arbeitsanweisung"/>
    <w:rsid w:val="00625C46"/>
    <w:rPr>
      <w:rFonts w:ascii="Arial" w:eastAsia="Times New Roman" w:hAnsi="Arial" w:cs="Times New Roman"/>
      <w:b/>
      <w:vanish/>
      <w:szCs w:val="20"/>
      <w:u w:val="dotted"/>
      <w:shd w:val="clear" w:color="auto" w:fill="CCFFFF"/>
      <w:lang w:val="de-DE"/>
    </w:rPr>
  </w:style>
  <w:style w:type="paragraph" w:styleId="af3">
    <w:name w:val="Title"/>
    <w:basedOn w:val="a"/>
    <w:next w:val="a"/>
    <w:link w:val="af4"/>
    <w:qFormat/>
    <w:rsid w:val="00625C46"/>
    <w:pPr>
      <w:jc w:val="center"/>
      <w:outlineLvl w:val="0"/>
    </w:pPr>
    <w:rPr>
      <w:rFonts w:cs="Arial"/>
      <w:b/>
      <w:bCs/>
      <w:spacing w:val="60"/>
      <w:kern w:val="28"/>
      <w:szCs w:val="32"/>
      <w:u w:val="single"/>
    </w:rPr>
  </w:style>
  <w:style w:type="character" w:customStyle="1" w:styleId="af4">
    <w:name w:val="Заголовок Знак"/>
    <w:basedOn w:val="a0"/>
    <w:link w:val="af3"/>
    <w:rsid w:val="00625C46"/>
    <w:rPr>
      <w:rFonts w:ascii="Arial" w:eastAsia="Times New Roman" w:hAnsi="Arial" w:cs="Arial"/>
      <w:b/>
      <w:bCs/>
      <w:spacing w:val="60"/>
      <w:kern w:val="28"/>
      <w:szCs w:val="32"/>
      <w:u w:val="single"/>
      <w:lang w:val="de-DE"/>
    </w:rPr>
  </w:style>
  <w:style w:type="character" w:customStyle="1" w:styleId="Pflichtfeld">
    <w:name w:val="@Pflichtfeld"/>
    <w:rsid w:val="00625C46"/>
    <w:rPr>
      <w:rFonts w:ascii="Arial" w:hAnsi="Arial"/>
      <w:b/>
      <w:dstrike w:val="0"/>
      <w:vanish/>
      <w:color w:val="auto"/>
      <w:sz w:val="24"/>
      <w:u w:val="dotted"/>
      <w:bdr w:val="none" w:sz="0" w:space="0" w:color="auto"/>
      <w:shd w:val="clear" w:color="auto" w:fill="CCFFFF"/>
      <w:vertAlign w:val="baseline"/>
    </w:rPr>
  </w:style>
  <w:style w:type="character" w:customStyle="1" w:styleId="Optionsfeld">
    <w:name w:val="./.Optionsfeld"/>
    <w:rsid w:val="00625C46"/>
    <w:rPr>
      <w:rFonts w:ascii="Arial" w:hAnsi="Arial"/>
      <w:b/>
      <w:dstrike w:val="0"/>
      <w:vanish/>
      <w:color w:val="auto"/>
      <w:sz w:val="24"/>
      <w:u w:val="dotted"/>
      <w:bdr w:val="none" w:sz="0" w:space="0" w:color="auto"/>
      <w:shd w:val="clear" w:color="auto" w:fill="CCFFFF"/>
      <w:vertAlign w:val="baseline"/>
    </w:rPr>
  </w:style>
  <w:style w:type="paragraph" w:styleId="af5">
    <w:name w:val="footnote text"/>
    <w:basedOn w:val="a"/>
    <w:link w:val="af6"/>
    <w:uiPriority w:val="99"/>
    <w:rsid w:val="00625C46"/>
    <w:pPr>
      <w:spacing w:after="60" w:line="240" w:lineRule="auto"/>
      <w:ind w:left="284" w:hanging="284"/>
    </w:pPr>
    <w:rPr>
      <w:b/>
      <w:vanish/>
      <w:sz w:val="18"/>
      <w:u w:val="dotted"/>
    </w:rPr>
  </w:style>
  <w:style w:type="character" w:customStyle="1" w:styleId="af6">
    <w:name w:val="Текст сноски Знак"/>
    <w:basedOn w:val="a0"/>
    <w:link w:val="af5"/>
    <w:uiPriority w:val="99"/>
    <w:rsid w:val="00625C46"/>
    <w:rPr>
      <w:rFonts w:ascii="Arial" w:eastAsia="Times New Roman" w:hAnsi="Arial" w:cs="Times New Roman"/>
      <w:b/>
      <w:vanish/>
      <w:sz w:val="18"/>
      <w:szCs w:val="20"/>
      <w:u w:val="dotted"/>
      <w:lang w:val="de-DE"/>
    </w:rPr>
  </w:style>
  <w:style w:type="character" w:styleId="af7">
    <w:name w:val="footnote reference"/>
    <w:uiPriority w:val="99"/>
    <w:rsid w:val="00625C46"/>
    <w:rPr>
      <w:rFonts w:ascii="Arial" w:hAnsi="Arial"/>
      <w:b w:val="0"/>
      <w:i w:val="0"/>
      <w:dstrike w:val="0"/>
      <w:vanish w:val="0"/>
      <w:color w:val="auto"/>
      <w:sz w:val="24"/>
      <w:u w:val="none"/>
      <w:bdr w:val="none" w:sz="0" w:space="0" w:color="auto"/>
      <w:shd w:val="clear" w:color="auto" w:fill="auto"/>
      <w:vertAlign w:val="superscript"/>
    </w:rPr>
  </w:style>
  <w:style w:type="paragraph" w:styleId="af8">
    <w:name w:val="endnote text"/>
    <w:basedOn w:val="a"/>
    <w:link w:val="af9"/>
    <w:semiHidden/>
    <w:rsid w:val="00625C46"/>
    <w:rPr>
      <w:sz w:val="20"/>
    </w:rPr>
  </w:style>
  <w:style w:type="character" w:customStyle="1" w:styleId="af9">
    <w:name w:val="Текст концевой сноски Знак"/>
    <w:basedOn w:val="a0"/>
    <w:link w:val="af8"/>
    <w:semiHidden/>
    <w:rsid w:val="00625C46"/>
    <w:rPr>
      <w:rFonts w:ascii="Arial" w:eastAsia="Times New Roman" w:hAnsi="Arial" w:cs="Times New Roman"/>
      <w:sz w:val="20"/>
      <w:szCs w:val="20"/>
      <w:lang w:val="de-DE"/>
    </w:rPr>
  </w:style>
  <w:style w:type="character" w:styleId="afa">
    <w:name w:val="endnote reference"/>
    <w:semiHidden/>
    <w:rsid w:val="00625C46"/>
    <w:rPr>
      <w:vertAlign w:val="superscript"/>
    </w:rPr>
  </w:style>
  <w:style w:type="paragraph" w:styleId="afb">
    <w:name w:val="Note Heading"/>
    <w:basedOn w:val="a"/>
    <w:next w:val="a"/>
    <w:link w:val="afc"/>
    <w:rsid w:val="00625C46"/>
    <w:pPr>
      <w:spacing w:line="240" w:lineRule="auto"/>
    </w:pPr>
  </w:style>
  <w:style w:type="character" w:customStyle="1" w:styleId="afc">
    <w:name w:val="Заголовок записки Знак"/>
    <w:basedOn w:val="a0"/>
    <w:link w:val="afb"/>
    <w:rsid w:val="00625C46"/>
    <w:rPr>
      <w:rFonts w:ascii="Arial" w:eastAsia="Times New Roman" w:hAnsi="Arial" w:cs="Times New Roman"/>
      <w:szCs w:val="20"/>
      <w:lang w:val="de-DE"/>
    </w:rPr>
  </w:style>
  <w:style w:type="paragraph" w:customStyle="1" w:styleId="Einrckungzu111">
    <w:name w:val="Einrückung zu 1. / 1.1"/>
    <w:basedOn w:val="Einrckungzua"/>
    <w:rsid w:val="00625C46"/>
    <w:pPr>
      <w:ind w:left="851"/>
    </w:pPr>
  </w:style>
  <w:style w:type="paragraph" w:customStyle="1" w:styleId="Einrckungzui">
    <w:name w:val="Einrückung zu (i)"/>
    <w:basedOn w:val="Einrckungzua"/>
    <w:rsid w:val="00625C46"/>
    <w:pPr>
      <w:ind w:left="1843"/>
    </w:pPr>
  </w:style>
  <w:style w:type="paragraph" w:customStyle="1" w:styleId="Annex-Text">
    <w:name w:val="Annex-Text"/>
    <w:basedOn w:val="a"/>
    <w:rsid w:val="00625C46"/>
    <w:pPr>
      <w:spacing w:line="240" w:lineRule="auto"/>
    </w:pPr>
    <w:rPr>
      <w:lang w:val="en-US"/>
    </w:rPr>
  </w:style>
  <w:style w:type="paragraph" w:customStyle="1" w:styleId="Prambel">
    <w:name w:val="Präambel"/>
    <w:basedOn w:val="1"/>
    <w:rsid w:val="00625C46"/>
    <w:pPr>
      <w:numPr>
        <w:numId w:val="0"/>
      </w:numPr>
      <w:jc w:val="left"/>
    </w:pPr>
    <w:rPr>
      <w:szCs w:val="24"/>
    </w:rPr>
  </w:style>
  <w:style w:type="paragraph" w:styleId="11">
    <w:name w:val="toc 1"/>
    <w:basedOn w:val="a"/>
    <w:next w:val="a"/>
    <w:autoRedefine/>
    <w:uiPriority w:val="39"/>
    <w:rsid w:val="00625C46"/>
    <w:pPr>
      <w:tabs>
        <w:tab w:val="left" w:pos="709"/>
        <w:tab w:val="right" w:leader="dot" w:pos="8777"/>
      </w:tabs>
      <w:ind w:left="709" w:right="1418" w:hanging="709"/>
      <w:jc w:val="left"/>
    </w:pPr>
  </w:style>
  <w:style w:type="paragraph" w:styleId="21">
    <w:name w:val="toc 2"/>
    <w:basedOn w:val="a"/>
    <w:next w:val="a"/>
    <w:autoRedefine/>
    <w:uiPriority w:val="39"/>
    <w:rsid w:val="00625C46"/>
    <w:pPr>
      <w:tabs>
        <w:tab w:val="right" w:leader="dot" w:pos="8777"/>
      </w:tabs>
      <w:ind w:left="567" w:right="1418" w:hanging="567"/>
    </w:pPr>
  </w:style>
  <w:style w:type="character" w:styleId="afd">
    <w:name w:val="annotation reference"/>
    <w:semiHidden/>
    <w:rsid w:val="00625C46"/>
    <w:rPr>
      <w:sz w:val="16"/>
      <w:szCs w:val="16"/>
    </w:rPr>
  </w:style>
  <w:style w:type="paragraph" w:styleId="afe">
    <w:name w:val="annotation text"/>
    <w:basedOn w:val="a"/>
    <w:link w:val="aff"/>
    <w:semiHidden/>
    <w:rsid w:val="00625C46"/>
    <w:rPr>
      <w:sz w:val="20"/>
    </w:rPr>
  </w:style>
  <w:style w:type="character" w:customStyle="1" w:styleId="aff">
    <w:name w:val="Текст примечания Знак"/>
    <w:basedOn w:val="a0"/>
    <w:link w:val="afe"/>
    <w:semiHidden/>
    <w:rsid w:val="00625C46"/>
    <w:rPr>
      <w:rFonts w:ascii="Arial" w:eastAsia="Times New Roman" w:hAnsi="Arial" w:cs="Times New Roman"/>
      <w:sz w:val="20"/>
      <w:szCs w:val="20"/>
      <w:lang w:val="de-DE"/>
    </w:rPr>
  </w:style>
  <w:style w:type="paragraph" w:styleId="aff0">
    <w:name w:val="annotation subject"/>
    <w:basedOn w:val="afe"/>
    <w:next w:val="afe"/>
    <w:link w:val="aff1"/>
    <w:semiHidden/>
    <w:rsid w:val="00625C46"/>
    <w:rPr>
      <w:b/>
      <w:bCs/>
    </w:rPr>
  </w:style>
  <w:style w:type="character" w:customStyle="1" w:styleId="aff1">
    <w:name w:val="Тема примечания Знак"/>
    <w:basedOn w:val="aff"/>
    <w:link w:val="aff0"/>
    <w:semiHidden/>
    <w:rsid w:val="00625C46"/>
    <w:rPr>
      <w:rFonts w:ascii="Arial" w:eastAsia="Times New Roman" w:hAnsi="Arial" w:cs="Times New Roman"/>
      <w:b/>
      <w:bCs/>
      <w:sz w:val="20"/>
      <w:szCs w:val="20"/>
      <w:lang w:val="de-DE"/>
    </w:rPr>
  </w:style>
  <w:style w:type="paragraph" w:styleId="aff2">
    <w:name w:val="Document Map"/>
    <w:basedOn w:val="a"/>
    <w:link w:val="aff3"/>
    <w:rsid w:val="00625C46"/>
    <w:rPr>
      <w:rFonts w:ascii="Tahoma" w:hAnsi="Tahoma" w:cs="Tahoma"/>
      <w:sz w:val="16"/>
      <w:szCs w:val="16"/>
    </w:rPr>
  </w:style>
  <w:style w:type="character" w:customStyle="1" w:styleId="aff3">
    <w:name w:val="Схема документа Знак"/>
    <w:basedOn w:val="a0"/>
    <w:link w:val="aff2"/>
    <w:rsid w:val="00625C46"/>
    <w:rPr>
      <w:rFonts w:ascii="Tahoma" w:eastAsia="Times New Roman" w:hAnsi="Tahoma" w:cs="Tahoma"/>
      <w:sz w:val="16"/>
      <w:szCs w:val="16"/>
      <w:lang w:val="de-DE"/>
    </w:rPr>
  </w:style>
  <w:style w:type="paragraph" w:customStyle="1" w:styleId="DefaultParagraphFontParaCharChar">
    <w:name w:val="Default Paragraph Font Para Char Char"/>
    <w:aliases w:val="Default Paragraph Font Para Char Para Char Char"/>
    <w:basedOn w:val="a"/>
    <w:rsid w:val="00625C46"/>
    <w:pPr>
      <w:spacing w:line="240" w:lineRule="auto"/>
      <w:jc w:val="left"/>
    </w:pPr>
    <w:rPr>
      <w:rFonts w:ascii="Times New Roman" w:hAnsi="Times New Roman"/>
      <w:sz w:val="20"/>
      <w:lang w:val="en-US"/>
    </w:rPr>
  </w:style>
  <w:style w:type="paragraph" w:customStyle="1" w:styleId="berschrift">
    <w:name w:val="Überschrift"/>
    <w:basedOn w:val="a"/>
    <w:rsid w:val="00625C46"/>
    <w:pPr>
      <w:jc w:val="center"/>
    </w:pPr>
    <w:rPr>
      <w:b/>
      <w:u w:val="single"/>
    </w:rPr>
  </w:style>
  <w:style w:type="paragraph" w:styleId="31">
    <w:name w:val="toc 3"/>
    <w:basedOn w:val="a"/>
    <w:next w:val="a"/>
    <w:autoRedefine/>
    <w:uiPriority w:val="39"/>
    <w:rsid w:val="00625C46"/>
    <w:pPr>
      <w:ind w:left="480"/>
    </w:pPr>
  </w:style>
  <w:style w:type="paragraph" w:styleId="41">
    <w:name w:val="toc 4"/>
    <w:basedOn w:val="a"/>
    <w:next w:val="a"/>
    <w:autoRedefine/>
    <w:uiPriority w:val="39"/>
    <w:unhideWhenUsed/>
    <w:rsid w:val="00625C46"/>
    <w:pPr>
      <w:spacing w:after="100" w:line="276" w:lineRule="auto"/>
      <w:ind w:left="660"/>
      <w:jc w:val="left"/>
    </w:pPr>
    <w:rPr>
      <w:rFonts w:ascii="Calibri" w:hAnsi="Calibri"/>
      <w:szCs w:val="22"/>
      <w:lang w:eastAsia="de-DE"/>
    </w:rPr>
  </w:style>
  <w:style w:type="paragraph" w:styleId="51">
    <w:name w:val="toc 5"/>
    <w:basedOn w:val="a"/>
    <w:next w:val="a"/>
    <w:autoRedefine/>
    <w:uiPriority w:val="39"/>
    <w:unhideWhenUsed/>
    <w:rsid w:val="00625C46"/>
    <w:pPr>
      <w:spacing w:after="100" w:line="276" w:lineRule="auto"/>
      <w:ind w:left="880"/>
      <w:jc w:val="left"/>
    </w:pPr>
    <w:rPr>
      <w:rFonts w:ascii="Calibri" w:hAnsi="Calibri"/>
      <w:szCs w:val="22"/>
      <w:lang w:eastAsia="de-DE"/>
    </w:rPr>
  </w:style>
  <w:style w:type="paragraph" w:styleId="61">
    <w:name w:val="toc 6"/>
    <w:basedOn w:val="a"/>
    <w:next w:val="a"/>
    <w:autoRedefine/>
    <w:uiPriority w:val="39"/>
    <w:unhideWhenUsed/>
    <w:rsid w:val="00625C46"/>
    <w:pPr>
      <w:spacing w:after="100" w:line="276" w:lineRule="auto"/>
      <w:ind w:left="1100"/>
      <w:jc w:val="left"/>
    </w:pPr>
    <w:rPr>
      <w:rFonts w:ascii="Calibri" w:hAnsi="Calibri"/>
      <w:szCs w:val="22"/>
      <w:lang w:eastAsia="de-DE"/>
    </w:rPr>
  </w:style>
  <w:style w:type="paragraph" w:styleId="71">
    <w:name w:val="toc 7"/>
    <w:basedOn w:val="a"/>
    <w:next w:val="a"/>
    <w:autoRedefine/>
    <w:uiPriority w:val="39"/>
    <w:unhideWhenUsed/>
    <w:rsid w:val="00625C46"/>
    <w:pPr>
      <w:spacing w:after="100" w:line="276" w:lineRule="auto"/>
      <w:ind w:left="1320"/>
      <w:jc w:val="left"/>
    </w:pPr>
    <w:rPr>
      <w:rFonts w:ascii="Calibri" w:hAnsi="Calibri"/>
      <w:szCs w:val="22"/>
      <w:lang w:eastAsia="de-DE"/>
    </w:rPr>
  </w:style>
  <w:style w:type="paragraph" w:styleId="81">
    <w:name w:val="toc 8"/>
    <w:basedOn w:val="a"/>
    <w:next w:val="a"/>
    <w:autoRedefine/>
    <w:uiPriority w:val="39"/>
    <w:unhideWhenUsed/>
    <w:rsid w:val="00625C46"/>
    <w:pPr>
      <w:spacing w:after="100" w:line="276" w:lineRule="auto"/>
      <w:ind w:left="1540"/>
      <w:jc w:val="left"/>
    </w:pPr>
    <w:rPr>
      <w:rFonts w:ascii="Calibri" w:hAnsi="Calibri"/>
      <w:szCs w:val="22"/>
      <w:lang w:eastAsia="de-DE"/>
    </w:rPr>
  </w:style>
  <w:style w:type="paragraph" w:styleId="91">
    <w:name w:val="toc 9"/>
    <w:basedOn w:val="a"/>
    <w:next w:val="a"/>
    <w:autoRedefine/>
    <w:uiPriority w:val="39"/>
    <w:unhideWhenUsed/>
    <w:rsid w:val="00625C46"/>
    <w:pPr>
      <w:spacing w:after="100" w:line="276" w:lineRule="auto"/>
      <w:ind w:left="1760"/>
      <w:jc w:val="left"/>
    </w:pPr>
    <w:rPr>
      <w:rFonts w:ascii="Calibri" w:hAnsi="Calibri"/>
      <w:szCs w:val="22"/>
      <w:lang w:eastAsia="de-DE"/>
    </w:rPr>
  </w:style>
  <w:style w:type="table" w:customStyle="1" w:styleId="Tabellenraster1">
    <w:name w:val="Tabellenraster1"/>
    <w:basedOn w:val="a1"/>
    <w:next w:val="ab"/>
    <w:rsid w:val="00625C46"/>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enraster3">
    <w:name w:val="Tabellenraster3"/>
    <w:basedOn w:val="a1"/>
    <w:next w:val="ab"/>
    <w:rsid w:val="00625C46"/>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ff4">
    <w:name w:val="Revision"/>
    <w:hidden/>
    <w:uiPriority w:val="99"/>
    <w:semiHidden/>
    <w:rsid w:val="00625C46"/>
    <w:pPr>
      <w:spacing w:after="0" w:line="240" w:lineRule="auto"/>
    </w:pPr>
    <w:rPr>
      <w:rFonts w:ascii="Arial" w:eastAsia="Times New Roman" w:hAnsi="Arial" w:cs="Times New Roman"/>
      <w:sz w:val="24"/>
      <w:szCs w:val="20"/>
      <w:lang w:val="de-DE"/>
    </w:rPr>
  </w:style>
  <w:style w:type="paragraph" w:styleId="aff5">
    <w:name w:val="List Paragraph"/>
    <w:aliases w:val="Listenabsatz1"/>
    <w:basedOn w:val="a"/>
    <w:uiPriority w:val="34"/>
    <w:qFormat/>
    <w:rsid w:val="00625C46"/>
    <w:pPr>
      <w:ind w:left="720"/>
      <w:contextualSpacing/>
    </w:pPr>
  </w:style>
  <w:style w:type="paragraph" w:styleId="aff6">
    <w:name w:val="TOC Heading"/>
    <w:basedOn w:val="1"/>
    <w:next w:val="a"/>
    <w:uiPriority w:val="39"/>
    <w:semiHidden/>
    <w:unhideWhenUsed/>
    <w:qFormat/>
    <w:rsid w:val="00625C46"/>
    <w:pPr>
      <w:keepNext/>
      <w:keepLines/>
      <w:numPr>
        <w:numId w:val="0"/>
      </w:numPr>
      <w:spacing w:before="480" w:after="0" w:line="276" w:lineRule="auto"/>
      <w:jc w:val="left"/>
      <w:outlineLvl w:val="9"/>
    </w:pPr>
    <w:rPr>
      <w:rFonts w:asciiTheme="majorHAnsi" w:eastAsiaTheme="majorEastAsia" w:hAnsiTheme="majorHAnsi" w:cstheme="majorBidi"/>
      <w:bCs/>
      <w:color w:val="2E74B5" w:themeColor="accent1" w:themeShade="BF"/>
      <w:sz w:val="28"/>
      <w:szCs w:val="28"/>
      <w:u w:val="none"/>
      <w:lang w:eastAsia="de-DE"/>
    </w:rPr>
  </w:style>
  <w:style w:type="paragraph" w:customStyle="1" w:styleId="StandardVerborgen">
    <w:name w:val="Standard Verborgen"/>
    <w:basedOn w:val="a"/>
    <w:next w:val="a"/>
    <w:qFormat/>
    <w:rsid w:val="00625C46"/>
    <w:pPr>
      <w:spacing w:line="320" w:lineRule="atLeast"/>
    </w:pPr>
    <w:rPr>
      <w:rFonts w:ascii="Arial Fett" w:hAnsi="Arial Fett"/>
      <w:b/>
      <w:vanish/>
      <w:szCs w:val="24"/>
      <w:u w:val="double"/>
      <w:lang w:eastAsia="de-DE"/>
    </w:rPr>
  </w:style>
  <w:style w:type="paragraph" w:customStyle="1" w:styleId="Listenabsatz2">
    <w:name w:val="Listenabsatz 2"/>
    <w:basedOn w:val="a"/>
    <w:rsid w:val="00625C46"/>
    <w:pPr>
      <w:spacing w:line="320" w:lineRule="atLeast"/>
    </w:pPr>
    <w:rPr>
      <w:lang w:eastAsia="de-DE"/>
    </w:rPr>
  </w:style>
  <w:style w:type="paragraph" w:customStyle="1" w:styleId="Listenabsatz4">
    <w:name w:val="Listenabsatz4"/>
    <w:basedOn w:val="a"/>
    <w:next w:val="a"/>
    <w:qFormat/>
    <w:rsid w:val="00625C46"/>
    <w:pPr>
      <w:spacing w:line="320" w:lineRule="atLeast"/>
    </w:pPr>
    <w:rPr>
      <w:szCs w:val="24"/>
      <w:lang w:eastAsia="de-DE"/>
    </w:rPr>
  </w:style>
  <w:style w:type="paragraph" w:customStyle="1" w:styleId="CentroSans811">
    <w:name w:val="Centro Sans 8/11"/>
    <w:basedOn w:val="a"/>
    <w:qFormat/>
    <w:rsid w:val="00625C46"/>
    <w:pPr>
      <w:tabs>
        <w:tab w:val="left" w:pos="737"/>
      </w:tabs>
      <w:spacing w:before="0" w:after="0" w:line="220" w:lineRule="exact"/>
      <w:jc w:val="left"/>
    </w:pPr>
    <w:rPr>
      <w:rFonts w:ascii="PFCentroSansPro-Regular" w:eastAsia="Cambria" w:hAnsi="PFCentroSansPro-Regular"/>
      <w:sz w:val="16"/>
      <w:szCs w:val="24"/>
    </w:rPr>
  </w:style>
  <w:style w:type="paragraph" w:customStyle="1" w:styleId="berschrift4a">
    <w:name w:val="Überschrift 4a"/>
    <w:basedOn w:val="4"/>
    <w:next w:val="a"/>
    <w:qFormat/>
    <w:rsid w:val="00625C46"/>
    <w:pPr>
      <w:numPr>
        <w:numId w:val="8"/>
      </w:numPr>
      <w:tabs>
        <w:tab w:val="left" w:pos="851"/>
      </w:tabs>
      <w:ind w:left="0" w:firstLine="0"/>
    </w:pPr>
    <w:rPr>
      <w:szCs w:val="22"/>
      <w:lang w:val="en-US"/>
    </w:rPr>
  </w:style>
  <w:style w:type="paragraph" w:customStyle="1" w:styleId="berschrift4b">
    <w:name w:val="Überschrift 4b"/>
    <w:basedOn w:val="berschrift4a"/>
    <w:qFormat/>
    <w:rsid w:val="00625C46"/>
    <w:pPr>
      <w:numPr>
        <w:numId w:val="11"/>
      </w:numPr>
      <w:ind w:left="0" w:firstLine="0"/>
    </w:pPr>
  </w:style>
  <w:style w:type="paragraph" w:customStyle="1" w:styleId="berschrift4c">
    <w:name w:val="Überschrift 4c"/>
    <w:basedOn w:val="berschrift4b"/>
    <w:next w:val="a"/>
    <w:qFormat/>
    <w:rsid w:val="00625C46"/>
    <w:pPr>
      <w:numPr>
        <w:numId w:val="13"/>
      </w:numPr>
      <w:ind w:left="0" w:firstLine="0"/>
    </w:pPr>
  </w:style>
  <w:style w:type="paragraph" w:customStyle="1" w:styleId="berschrift4d">
    <w:name w:val="Überschrift 4d"/>
    <w:basedOn w:val="berschrift4c"/>
    <w:next w:val="a"/>
    <w:qFormat/>
    <w:rsid w:val="00625C46"/>
    <w:pPr>
      <w:numPr>
        <w:numId w:val="17"/>
      </w:numPr>
      <w:ind w:left="0" w:firstLine="0"/>
    </w:pPr>
    <w:rPr>
      <w:lang w:eastAsia="de-DE"/>
    </w:rPr>
  </w:style>
  <w:style w:type="paragraph" w:styleId="aff7">
    <w:name w:val="Plain Text"/>
    <w:basedOn w:val="a"/>
    <w:link w:val="aff8"/>
    <w:uiPriority w:val="99"/>
    <w:unhideWhenUsed/>
    <w:rsid w:val="00625C46"/>
    <w:pPr>
      <w:spacing w:before="0" w:after="0" w:line="240" w:lineRule="auto"/>
      <w:jc w:val="left"/>
    </w:pPr>
    <w:rPr>
      <w:rFonts w:ascii="Calibri" w:eastAsia="Calibri" w:hAnsi="Calibri" w:cs="Consolas"/>
      <w:szCs w:val="21"/>
    </w:rPr>
  </w:style>
  <w:style w:type="character" w:customStyle="1" w:styleId="aff8">
    <w:name w:val="Текст Знак"/>
    <w:basedOn w:val="a0"/>
    <w:link w:val="aff7"/>
    <w:uiPriority w:val="99"/>
    <w:rsid w:val="00625C46"/>
    <w:rPr>
      <w:rFonts w:ascii="Calibri" w:eastAsia="Calibri" w:hAnsi="Calibri" w:cs="Consolas"/>
      <w:szCs w:val="21"/>
      <w:lang w:val="de-DE"/>
    </w:rPr>
  </w:style>
  <w:style w:type="table" w:customStyle="1" w:styleId="Tabellenraster2">
    <w:name w:val="Tabellenraster2"/>
    <w:basedOn w:val="a1"/>
    <w:next w:val="ab"/>
    <w:uiPriority w:val="59"/>
    <w:rsid w:val="00625C46"/>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Default">
    <w:name w:val="Default"/>
    <w:rsid w:val="00625C46"/>
    <w:pPr>
      <w:autoSpaceDE w:val="0"/>
      <w:autoSpaceDN w:val="0"/>
      <w:adjustRightInd w:val="0"/>
      <w:spacing w:after="0" w:line="240" w:lineRule="auto"/>
    </w:pPr>
    <w:rPr>
      <w:rFonts w:ascii="Arial" w:eastAsia="Times New Roman" w:hAnsi="Arial" w:cs="Arial"/>
      <w:color w:val="000000"/>
      <w:sz w:val="24"/>
      <w:szCs w:val="24"/>
      <w:lang w:val="de-DE" w:eastAsia="de-DE"/>
    </w:rPr>
  </w:style>
  <w:style w:type="character" w:customStyle="1" w:styleId="tlid-translation">
    <w:name w:val="tlid-translation"/>
    <w:basedOn w:val="a0"/>
    <w:rsid w:val="00625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5495</Words>
  <Characters>31327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dc:creator>
  <cp:keywords/>
  <dc:description/>
  <cp:lastModifiedBy>Пользователь</cp:lastModifiedBy>
  <cp:revision>7</cp:revision>
  <dcterms:created xsi:type="dcterms:W3CDTF">2019-11-13T12:57:00Z</dcterms:created>
  <dcterms:modified xsi:type="dcterms:W3CDTF">2019-12-06T12:39:00Z</dcterms:modified>
</cp:coreProperties>
</file>